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05" w:rsidRPr="00CD212C" w:rsidRDefault="008B4305" w:rsidP="00CD212C">
      <w:pPr>
        <w:pStyle w:val="Heading1"/>
      </w:pPr>
      <w:r w:rsidRPr="00CD212C">
        <w:t>Summary</w:t>
      </w:r>
      <w:bookmarkStart w:id="0" w:name="_GoBack"/>
      <w:bookmarkEnd w:id="0"/>
    </w:p>
    <w:p w:rsidR="00C421E8" w:rsidRDefault="00C421E8" w:rsidP="00C421E8">
      <w:r>
        <w:t>Bob</w:t>
      </w:r>
      <w:r w:rsidRPr="00C03604">
        <w:t xml:space="preserve"> Hevert is a financial and economic consultant with</w:t>
      </w:r>
      <w:r>
        <w:t xml:space="preserve"> more than 30 years of</w:t>
      </w:r>
      <w:r w:rsidRPr="00C03604">
        <w:t xml:space="preserve"> broad experience in the energy and utility industries.</w:t>
      </w:r>
      <w:r>
        <w:t xml:space="preserve"> </w:t>
      </w:r>
      <w:r w:rsidRPr="00C03604">
        <w:t xml:space="preserve">He has an extensive background in the areas of corporate finance, mergers and acquisitions, project finance, asset and business unit valuation, rate and regulatory matters, energy market assessment, and corporate strategic planning. </w:t>
      </w:r>
      <w:r>
        <w:t>He</w:t>
      </w:r>
      <w:r w:rsidRPr="00C03604">
        <w:t xml:space="preserve"> has provided expert testimony on a wide range of financial, strategic</w:t>
      </w:r>
      <w:r>
        <w:t>,</w:t>
      </w:r>
      <w:r w:rsidRPr="00C03604">
        <w:t xml:space="preserve"> and economic matters on </w:t>
      </w:r>
      <w:r>
        <w:t>more than</w:t>
      </w:r>
      <w:r w:rsidRPr="00C03604">
        <w:t xml:space="preserve"> 100 occasions at the state</w:t>
      </w:r>
      <w:r>
        <w:t>, provincial, and federal levels.</w:t>
      </w:r>
    </w:p>
    <w:p w:rsidR="00C421E8" w:rsidRDefault="00C421E8" w:rsidP="00C421E8"/>
    <w:p w:rsidR="00C421E8" w:rsidRPr="008F057E" w:rsidRDefault="00C421E8" w:rsidP="00C421E8">
      <w:pPr>
        <w:rPr>
          <w:rFonts w:cs="Arial"/>
        </w:rPr>
      </w:pPr>
      <w:r>
        <w:t>Prior to joining ScottMadden, Bob served as managing partner at Sussex Economic Advisors, LLC. Throughout the course of his career, he has worked with</w:t>
      </w:r>
      <w:r w:rsidRPr="00C66254">
        <w:t xml:space="preserve"> numerous leading energy companies and financial institutions throughout North America</w:t>
      </w:r>
      <w:r>
        <w:t>. He has provided</w:t>
      </w:r>
      <w:r w:rsidRPr="00C66254">
        <w:t xml:space="preserve"> </w:t>
      </w:r>
      <w:r w:rsidRPr="00212E22">
        <w:rPr>
          <w:rFonts w:cs="Arial"/>
        </w:rPr>
        <w:t>expert testimony and support of litigation in various regulatory proceedings on a variety of energy and economic issues</w:t>
      </w:r>
      <w:r>
        <w:rPr>
          <w:rFonts w:cs="Arial"/>
        </w:rPr>
        <w:t>. Bob earned a B.S. in b</w:t>
      </w:r>
      <w:r w:rsidRPr="008F057E">
        <w:rPr>
          <w:rFonts w:cs="Arial"/>
        </w:rPr>
        <w:t xml:space="preserve">usiness and </w:t>
      </w:r>
      <w:r>
        <w:rPr>
          <w:rFonts w:cs="Arial"/>
        </w:rPr>
        <w:t>e</w:t>
      </w:r>
      <w:r w:rsidRPr="008F057E">
        <w:rPr>
          <w:rFonts w:cs="Arial"/>
        </w:rPr>
        <w:t>conomics</w:t>
      </w:r>
      <w:r>
        <w:rPr>
          <w:rFonts w:cs="Arial"/>
        </w:rPr>
        <w:t xml:space="preserve"> from the University of Delaware </w:t>
      </w:r>
      <w:r w:rsidRPr="008F057E">
        <w:rPr>
          <w:rFonts w:cs="Arial"/>
        </w:rPr>
        <w:t>and an M</w:t>
      </w:r>
      <w:r>
        <w:rPr>
          <w:rFonts w:cs="Arial"/>
        </w:rPr>
        <w:t>.</w:t>
      </w:r>
      <w:r w:rsidRPr="008F057E">
        <w:rPr>
          <w:rFonts w:cs="Arial"/>
        </w:rPr>
        <w:t>B</w:t>
      </w:r>
      <w:r>
        <w:rPr>
          <w:rFonts w:cs="Arial"/>
        </w:rPr>
        <w:t>.</w:t>
      </w:r>
      <w:r w:rsidRPr="008F057E">
        <w:rPr>
          <w:rFonts w:cs="Arial"/>
        </w:rPr>
        <w:t>A</w:t>
      </w:r>
      <w:r>
        <w:rPr>
          <w:rFonts w:cs="Arial"/>
        </w:rPr>
        <w:t xml:space="preserve">. </w:t>
      </w:r>
      <w:r w:rsidRPr="008F057E">
        <w:rPr>
          <w:rFonts w:cs="Arial"/>
        </w:rPr>
        <w:t xml:space="preserve">with a concentration in </w:t>
      </w:r>
      <w:r>
        <w:rPr>
          <w:rFonts w:cs="Arial"/>
        </w:rPr>
        <w:t>f</w:t>
      </w:r>
      <w:r w:rsidRPr="008F057E">
        <w:rPr>
          <w:rFonts w:cs="Arial"/>
        </w:rPr>
        <w:t>inance</w:t>
      </w:r>
      <w:r>
        <w:rPr>
          <w:rFonts w:cs="Arial"/>
        </w:rPr>
        <w:t xml:space="preserve"> from the University of Massachusetts at Amherst. Bob </w:t>
      </w:r>
      <w:r w:rsidRPr="008F057E">
        <w:rPr>
          <w:rFonts w:cs="Arial"/>
        </w:rPr>
        <w:t>also hold</w:t>
      </w:r>
      <w:r>
        <w:rPr>
          <w:rFonts w:cs="Arial"/>
        </w:rPr>
        <w:t>s</w:t>
      </w:r>
      <w:r w:rsidRPr="008F057E">
        <w:rPr>
          <w:rFonts w:cs="Arial"/>
        </w:rPr>
        <w:t xml:space="preserve"> the Chartered Financial Analyst designation</w:t>
      </w:r>
      <w:r>
        <w:rPr>
          <w:rFonts w:cs="Arial"/>
        </w:rPr>
        <w:t>.</w:t>
      </w:r>
    </w:p>
    <w:p w:rsidR="00CD212C" w:rsidRPr="00CD212C" w:rsidRDefault="00CD212C" w:rsidP="00CD212C">
      <w:pPr>
        <w:pStyle w:val="Heading1"/>
      </w:pPr>
      <w:r w:rsidRPr="00CD212C">
        <w:t>Areas of Specialization</w:t>
      </w:r>
    </w:p>
    <w:p w:rsidR="00127990" w:rsidRPr="0064618D" w:rsidRDefault="00127990" w:rsidP="007E7AA1">
      <w:pPr>
        <w:pStyle w:val="NoSpacing"/>
      </w:pPr>
      <w:r w:rsidRPr="0064618D">
        <w:t>Regulation and rates</w:t>
      </w:r>
    </w:p>
    <w:p w:rsidR="00127990" w:rsidRPr="0064618D" w:rsidRDefault="00127990" w:rsidP="007E7AA1">
      <w:pPr>
        <w:pStyle w:val="NoSpacing"/>
      </w:pPr>
      <w:r w:rsidRPr="0064618D">
        <w:t>Utilities</w:t>
      </w:r>
    </w:p>
    <w:p w:rsidR="00127990" w:rsidRPr="0064618D" w:rsidRDefault="00C421E8" w:rsidP="007E7AA1">
      <w:pPr>
        <w:pStyle w:val="NoSpacing"/>
      </w:pPr>
      <w:r w:rsidRPr="0064618D">
        <w:t>Fossil/hydro generation</w:t>
      </w:r>
    </w:p>
    <w:p w:rsidR="00C421E8" w:rsidRPr="0064618D" w:rsidRDefault="00C421E8" w:rsidP="007E7AA1">
      <w:pPr>
        <w:pStyle w:val="NoSpacing"/>
      </w:pPr>
      <w:r w:rsidRPr="0064618D">
        <w:t>Markets and RTOs</w:t>
      </w:r>
    </w:p>
    <w:p w:rsidR="00C421E8" w:rsidRPr="0064618D" w:rsidRDefault="00C421E8" w:rsidP="007E7AA1">
      <w:pPr>
        <w:pStyle w:val="NoSpacing"/>
      </w:pPr>
      <w:r w:rsidRPr="0064618D">
        <w:t>Nuclear generation</w:t>
      </w:r>
    </w:p>
    <w:p w:rsidR="00C421E8" w:rsidRPr="0064618D" w:rsidRDefault="00C421E8" w:rsidP="007E7AA1">
      <w:pPr>
        <w:pStyle w:val="NoSpacing"/>
      </w:pPr>
      <w:r w:rsidRPr="0064618D">
        <w:t>Mergers and acquisitions</w:t>
      </w:r>
    </w:p>
    <w:p w:rsidR="00C421E8" w:rsidRPr="0064618D" w:rsidRDefault="00C421E8" w:rsidP="007E7AA1">
      <w:pPr>
        <w:pStyle w:val="NoSpacing"/>
      </w:pPr>
      <w:r w:rsidRPr="0064618D">
        <w:t>Regulatory strategy and rate case support</w:t>
      </w:r>
    </w:p>
    <w:p w:rsidR="00C421E8" w:rsidRPr="0064618D" w:rsidRDefault="00C421E8" w:rsidP="007E7AA1">
      <w:pPr>
        <w:pStyle w:val="NoSpacing"/>
      </w:pPr>
      <w:r w:rsidRPr="0064618D">
        <w:t>Capital project planning</w:t>
      </w:r>
    </w:p>
    <w:p w:rsidR="00C421E8" w:rsidRPr="0064618D" w:rsidRDefault="00C421E8" w:rsidP="007E7AA1">
      <w:pPr>
        <w:pStyle w:val="NoSpacing"/>
      </w:pPr>
      <w:r w:rsidRPr="0064618D">
        <w:t>Strategic and business planning</w:t>
      </w:r>
    </w:p>
    <w:p w:rsidR="00453211" w:rsidRDefault="00453211" w:rsidP="00CD212C">
      <w:pPr>
        <w:pStyle w:val="Heading1"/>
      </w:pPr>
      <w:r>
        <w:t>Recent Expert Testimony Submission/Appearance</w:t>
      </w:r>
    </w:p>
    <w:p w:rsidR="00453211" w:rsidRDefault="00453211" w:rsidP="00453211">
      <w:pPr>
        <w:pStyle w:val="NoSpacing"/>
      </w:pPr>
      <w:r>
        <w:t>Federal Energy Regulatory Commission</w:t>
      </w:r>
      <w:r w:rsidR="00933FC0">
        <w:t xml:space="preserve"> –</w:t>
      </w:r>
      <w:r>
        <w:t xml:space="preserve"> Return on Equity</w:t>
      </w:r>
    </w:p>
    <w:p w:rsidR="00453211" w:rsidRDefault="00453211" w:rsidP="00453211">
      <w:pPr>
        <w:pStyle w:val="NoSpacing"/>
      </w:pPr>
      <w:r>
        <w:t>New Jersey Board of Public Utilities</w:t>
      </w:r>
      <w:r w:rsidR="00933FC0">
        <w:t xml:space="preserve"> –</w:t>
      </w:r>
      <w:r>
        <w:t xml:space="preserve"> Merger Approval</w:t>
      </w:r>
    </w:p>
    <w:p w:rsidR="00453211" w:rsidRDefault="00453211" w:rsidP="00453211">
      <w:pPr>
        <w:pStyle w:val="NoSpacing"/>
      </w:pPr>
      <w:r>
        <w:t>New Mexico Public Regulation Commission</w:t>
      </w:r>
      <w:r w:rsidR="00933FC0">
        <w:t xml:space="preserve"> –</w:t>
      </w:r>
      <w:r>
        <w:t xml:space="preserve"> Cost of Capital and Financial Integrity</w:t>
      </w:r>
    </w:p>
    <w:p w:rsidR="00453211" w:rsidRDefault="00453211" w:rsidP="00453211">
      <w:pPr>
        <w:pStyle w:val="NoSpacing"/>
      </w:pPr>
      <w:r>
        <w:t>United States District Court</w:t>
      </w:r>
      <w:r w:rsidR="00933FC0">
        <w:t xml:space="preserve"> –</w:t>
      </w:r>
      <w:r>
        <w:t xml:space="preserve"> PURPA and FERC Regulations</w:t>
      </w:r>
    </w:p>
    <w:p w:rsidR="00453211" w:rsidRPr="00453211" w:rsidRDefault="00453211" w:rsidP="00453211">
      <w:pPr>
        <w:pStyle w:val="NoSpacing"/>
      </w:pPr>
      <w:r>
        <w:t>Albert Utilities Commission</w:t>
      </w:r>
      <w:r w:rsidR="00933FC0">
        <w:t xml:space="preserve"> – </w:t>
      </w:r>
      <w:r>
        <w:t>Return on Equity and Capital Structure</w:t>
      </w:r>
    </w:p>
    <w:p w:rsidR="00CD212C" w:rsidRPr="00CD212C" w:rsidRDefault="00CD212C" w:rsidP="00CD212C">
      <w:pPr>
        <w:pStyle w:val="Heading1"/>
      </w:pPr>
      <w:r w:rsidRPr="00CD212C">
        <w:t>Recent Assignments</w:t>
      </w:r>
    </w:p>
    <w:p w:rsidR="00C421E8" w:rsidRPr="007855FB" w:rsidRDefault="00C421E8" w:rsidP="00C421E8">
      <w:pPr>
        <w:pStyle w:val="NoSpacing"/>
      </w:pPr>
      <w:r>
        <w:t>Provided expert testimony on the cost of capital for ratemaking purposes before numerous state utility regulatory agencies, the Alberta Utilities Commission, and the Federal Energy Regulatory Commission</w:t>
      </w:r>
    </w:p>
    <w:p w:rsidR="00C421E8" w:rsidRDefault="00C421E8" w:rsidP="00C421E8">
      <w:pPr>
        <w:pStyle w:val="NoSpacing"/>
      </w:pPr>
      <w:r>
        <w:t>For an independent electric transmission provider in Texas, prepared an expert report on the economic damages with respect to failure to meet guaranteed completion dates. The report was filed as part of an arbitration proceeding and included a review of the ratemaking implications of economic damages</w:t>
      </w:r>
    </w:p>
    <w:p w:rsidR="00C421E8" w:rsidRDefault="00C421E8" w:rsidP="00C421E8">
      <w:pPr>
        <w:pStyle w:val="NoSpacing"/>
      </w:pPr>
      <w:r>
        <w:t>Advised the board of directors of a publicly traded electric and natural gas combination utility on dividend policy issues, earnings payout trends and related capital market considerations</w:t>
      </w:r>
    </w:p>
    <w:p w:rsidR="00C421E8" w:rsidRDefault="00C421E8" w:rsidP="00C421E8">
      <w:pPr>
        <w:pStyle w:val="NoSpacing"/>
      </w:pPr>
      <w:r>
        <w:t>Assisted a publicly traded utility with a strategic buy-side evaluation of a gas utility with more than $1 billion in assets. The assignment included operational performance benchmarking, calculation of merger synergies, risk analysis, and review of the regulatory implications of the transaction</w:t>
      </w:r>
    </w:p>
    <w:p w:rsidR="00C421E8" w:rsidRDefault="00C421E8" w:rsidP="00C421E8">
      <w:pPr>
        <w:pStyle w:val="NoSpacing"/>
      </w:pPr>
      <w:r>
        <w:t>Provided testimony before the Arkansas Public Service Commission in support of the acquisition of SourceGas LLC by Black Hills Corporation. The testimony addressed certain balance sheet capitalization and credit rating issues</w:t>
      </w:r>
    </w:p>
    <w:p w:rsidR="007E7AA1" w:rsidRDefault="00C421E8" w:rsidP="00C421E8">
      <w:pPr>
        <w:pStyle w:val="NoSpacing"/>
      </w:pPr>
      <w:r>
        <w:t>For the State of Maine Public Utility Commission, prepared a report that summarized the Northeast and Atlantic Canada natural gas power markets and analyzed the potential benefits and costs associated with natural gas pipeline expansions. The independent report was filed at the Maine Public Utility Commission</w:t>
      </w:r>
    </w:p>
    <w:sectPr w:rsidR="007E7AA1" w:rsidSect="00883918">
      <w:headerReference w:type="default" r:id="rId7"/>
      <w:pgSz w:w="12240" w:h="15840"/>
      <w:pgMar w:top="1626" w:right="1080" w:bottom="81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6E" w:rsidRDefault="00255E6E" w:rsidP="00CD212C">
      <w:r>
        <w:separator/>
      </w:r>
    </w:p>
  </w:endnote>
  <w:endnote w:type="continuationSeparator" w:id="0">
    <w:p w:rsidR="00255E6E" w:rsidRDefault="00255E6E" w:rsidP="00C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6E" w:rsidRDefault="00255E6E" w:rsidP="00CD212C">
      <w:r>
        <w:separator/>
      </w:r>
    </w:p>
  </w:footnote>
  <w:footnote w:type="continuationSeparator" w:id="0">
    <w:p w:rsidR="00255E6E" w:rsidRDefault="00255E6E" w:rsidP="00CD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05" w:rsidRPr="00CD212C" w:rsidRDefault="008B4305" w:rsidP="00CD212C">
    <w:pPr>
      <w:pStyle w:val="Subtitle"/>
    </w:pPr>
    <w:r>
      <w:rPr>
        <w:noProof/>
      </w:rPr>
      <w:drawing>
        <wp:anchor distT="0" distB="0" distL="114300" distR="114300" simplePos="0" relativeHeight="251658240" behindDoc="1" locked="0" layoutInCell="1" allowOverlap="1" wp14:anchorId="1459E8A5" wp14:editId="583ECEAB">
          <wp:simplePos x="0" y="0"/>
          <wp:positionH relativeFrom="column">
            <wp:posOffset>17062</wp:posOffset>
          </wp:positionH>
          <wp:positionV relativeFrom="paragraph">
            <wp:posOffset>-993</wp:posOffset>
          </wp:positionV>
          <wp:extent cx="1391479" cy="596348"/>
          <wp:effectExtent l="19050" t="0" r="0" b="0"/>
          <wp:wrapNone/>
          <wp:docPr id="2" name="Picture 0" desc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jpg"/>
                  <pic:cNvPicPr/>
                </pic:nvPicPr>
                <pic:blipFill>
                  <a:blip r:embed="rId1"/>
                  <a:stretch>
                    <a:fillRect/>
                  </a:stretch>
                </pic:blipFill>
                <pic:spPr>
                  <a:xfrm>
                    <a:off x="0" y="0"/>
                    <a:ext cx="1394793" cy="597768"/>
                  </a:xfrm>
                  <a:prstGeom prst="rect">
                    <a:avLst/>
                  </a:prstGeom>
                </pic:spPr>
              </pic:pic>
            </a:graphicData>
          </a:graphic>
        </wp:anchor>
      </w:drawing>
    </w:r>
    <w:r w:rsidRPr="00CD212C">
      <w:t>Resume of:</w:t>
    </w:r>
  </w:p>
  <w:p w:rsidR="008B4305" w:rsidRDefault="00C421E8" w:rsidP="00CD212C">
    <w:pPr>
      <w:jc w:val="right"/>
      <w:rPr>
        <w:rStyle w:val="SubtleEmphasis"/>
      </w:rPr>
    </w:pPr>
    <w:r>
      <w:rPr>
        <w:rStyle w:val="SubtleEmphasis"/>
      </w:rPr>
      <w:t>Robert B. Hevert</w:t>
    </w:r>
  </w:p>
  <w:p w:rsidR="007E7AA1" w:rsidRPr="00CD212C" w:rsidRDefault="00BD123B" w:rsidP="00BD123B">
    <w:pPr>
      <w:jc w:val="right"/>
      <w:rPr>
        <w:rStyle w:val="SubtleEmphasis"/>
      </w:rPr>
    </w:pPr>
    <w:r>
      <w:rPr>
        <w:rStyle w:val="SubtleEmphasis"/>
      </w:rPr>
      <w:t>Partner and Rates, Regulation, &amp; Planning Practice Leader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20A"/>
    <w:multiLevelType w:val="hybridMultilevel"/>
    <w:tmpl w:val="44AE3610"/>
    <w:lvl w:ilvl="0" w:tplc="895629F6">
      <w:start w:val="1"/>
      <w:numFmt w:val="bullet"/>
      <w:lvlText w:val=""/>
      <w:lvlJc w:val="left"/>
      <w:pPr>
        <w:tabs>
          <w:tab w:val="num" w:pos="360"/>
        </w:tabs>
        <w:ind w:left="360" w:hanging="360"/>
      </w:pPr>
      <w:rPr>
        <w:rFonts w:ascii="Wingdings" w:hAnsi="Wingdings" w:hint="default"/>
        <w:color w:val="C33A32" w:themeColor="accent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62BBD"/>
    <w:multiLevelType w:val="hybridMultilevel"/>
    <w:tmpl w:val="02049326"/>
    <w:lvl w:ilvl="0" w:tplc="19506D7A">
      <w:start w:val="1"/>
      <w:numFmt w:val="bullet"/>
      <w:lvlText w:val=""/>
      <w:lvlJc w:val="left"/>
      <w:pPr>
        <w:ind w:left="720" w:hanging="360"/>
      </w:pPr>
      <w:rPr>
        <w:rFonts w:ascii="Wingdings" w:hAnsi="Wingdings" w:hint="default"/>
        <w:color w:val="C33A32"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A25D3"/>
    <w:multiLevelType w:val="hybridMultilevel"/>
    <w:tmpl w:val="0B14507A"/>
    <w:lvl w:ilvl="0" w:tplc="AB38F968">
      <w:start w:val="1"/>
      <w:numFmt w:val="bullet"/>
      <w:pStyle w:val="NoSpacing"/>
      <w:lvlText w:val="n"/>
      <w:lvlJc w:val="left"/>
      <w:pPr>
        <w:ind w:left="360" w:hanging="360"/>
      </w:pPr>
      <w:rPr>
        <w:rFonts w:ascii="Wingdings" w:hAnsi="Wingdings" w:hint="default"/>
        <w:color w:val="26BCD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2"/>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50"/>
    <w:rsid w:val="00127990"/>
    <w:rsid w:val="0013152A"/>
    <w:rsid w:val="001E7654"/>
    <w:rsid w:val="00242DE7"/>
    <w:rsid w:val="00255E6E"/>
    <w:rsid w:val="002947EE"/>
    <w:rsid w:val="00354F3F"/>
    <w:rsid w:val="003D3259"/>
    <w:rsid w:val="0041311E"/>
    <w:rsid w:val="00453211"/>
    <w:rsid w:val="004E4981"/>
    <w:rsid w:val="00515D3B"/>
    <w:rsid w:val="00557640"/>
    <w:rsid w:val="00603C3B"/>
    <w:rsid w:val="00643818"/>
    <w:rsid w:val="0064618D"/>
    <w:rsid w:val="006621C6"/>
    <w:rsid w:val="00676EF9"/>
    <w:rsid w:val="00730068"/>
    <w:rsid w:val="00791F7F"/>
    <w:rsid w:val="007E7AA1"/>
    <w:rsid w:val="00863668"/>
    <w:rsid w:val="00883918"/>
    <w:rsid w:val="008B4305"/>
    <w:rsid w:val="008C2670"/>
    <w:rsid w:val="00903191"/>
    <w:rsid w:val="00933FC0"/>
    <w:rsid w:val="00997E93"/>
    <w:rsid w:val="009F4A4A"/>
    <w:rsid w:val="00A536B5"/>
    <w:rsid w:val="00A830EB"/>
    <w:rsid w:val="00A9496E"/>
    <w:rsid w:val="00AE3B76"/>
    <w:rsid w:val="00B66B6E"/>
    <w:rsid w:val="00B9645E"/>
    <w:rsid w:val="00BD123B"/>
    <w:rsid w:val="00BF602E"/>
    <w:rsid w:val="00C421E8"/>
    <w:rsid w:val="00C54150"/>
    <w:rsid w:val="00C63DBC"/>
    <w:rsid w:val="00CD212C"/>
    <w:rsid w:val="00E9440A"/>
    <w:rsid w:val="00EA3A60"/>
    <w:rsid w:val="00EC61D0"/>
    <w:rsid w:val="00F76195"/>
    <w:rsid w:val="00FB4396"/>
    <w:rsid w:val="00FF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E20DBCB-5AEF-49DE-BBA3-7787C051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2C"/>
    <w:pPr>
      <w:spacing w:after="0" w:line="240" w:lineRule="auto"/>
    </w:pPr>
    <w:rPr>
      <w:rFonts w:ascii="Arial" w:hAnsi="Arial"/>
      <w:sz w:val="20"/>
    </w:rPr>
  </w:style>
  <w:style w:type="paragraph" w:styleId="Heading1">
    <w:name w:val="heading 1"/>
    <w:aliases w:val="Resume Major Side"/>
    <w:basedOn w:val="Normal"/>
    <w:next w:val="Normal"/>
    <w:link w:val="Heading1Char"/>
    <w:uiPriority w:val="9"/>
    <w:qFormat/>
    <w:rsid w:val="00CD212C"/>
    <w:pPr>
      <w:spacing w:before="120" w:after="120"/>
      <w:outlineLvl w:val="0"/>
    </w:pPr>
    <w:rPr>
      <w:rFonts w:ascii="Arial Narrow" w:hAnsi="Arial Narrow" w:cs="Arial"/>
      <w:b/>
      <w:i/>
      <w:color w:val="5F606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305"/>
    <w:pPr>
      <w:tabs>
        <w:tab w:val="center" w:pos="4680"/>
        <w:tab w:val="right" w:pos="9360"/>
      </w:tabs>
    </w:pPr>
  </w:style>
  <w:style w:type="character" w:customStyle="1" w:styleId="HeaderChar">
    <w:name w:val="Header Char"/>
    <w:basedOn w:val="DefaultParagraphFont"/>
    <w:link w:val="Header"/>
    <w:uiPriority w:val="99"/>
    <w:rsid w:val="008B4305"/>
  </w:style>
  <w:style w:type="paragraph" w:styleId="Footer">
    <w:name w:val="footer"/>
    <w:basedOn w:val="Normal"/>
    <w:link w:val="FooterChar"/>
    <w:uiPriority w:val="99"/>
    <w:unhideWhenUsed/>
    <w:rsid w:val="008B4305"/>
    <w:pPr>
      <w:tabs>
        <w:tab w:val="center" w:pos="4680"/>
        <w:tab w:val="right" w:pos="9360"/>
      </w:tabs>
    </w:pPr>
  </w:style>
  <w:style w:type="character" w:customStyle="1" w:styleId="FooterChar">
    <w:name w:val="Footer Char"/>
    <w:basedOn w:val="DefaultParagraphFont"/>
    <w:link w:val="Footer"/>
    <w:uiPriority w:val="99"/>
    <w:rsid w:val="008B4305"/>
  </w:style>
  <w:style w:type="paragraph" w:styleId="BalloonText">
    <w:name w:val="Balloon Text"/>
    <w:basedOn w:val="Normal"/>
    <w:link w:val="BalloonTextChar"/>
    <w:uiPriority w:val="99"/>
    <w:semiHidden/>
    <w:unhideWhenUsed/>
    <w:rsid w:val="008B4305"/>
    <w:rPr>
      <w:rFonts w:ascii="Tahoma" w:hAnsi="Tahoma" w:cs="Tahoma"/>
      <w:sz w:val="16"/>
      <w:szCs w:val="16"/>
    </w:rPr>
  </w:style>
  <w:style w:type="character" w:customStyle="1" w:styleId="BalloonTextChar">
    <w:name w:val="Balloon Text Char"/>
    <w:basedOn w:val="DefaultParagraphFont"/>
    <w:link w:val="BalloonText"/>
    <w:uiPriority w:val="99"/>
    <w:semiHidden/>
    <w:rsid w:val="008B4305"/>
    <w:rPr>
      <w:rFonts w:ascii="Tahoma" w:hAnsi="Tahoma" w:cs="Tahoma"/>
      <w:sz w:val="16"/>
      <w:szCs w:val="16"/>
    </w:rPr>
  </w:style>
  <w:style w:type="character" w:customStyle="1" w:styleId="Heading1Char">
    <w:name w:val="Heading 1 Char"/>
    <w:aliases w:val="Resume Major Side Char"/>
    <w:basedOn w:val="DefaultParagraphFont"/>
    <w:link w:val="Heading1"/>
    <w:uiPriority w:val="9"/>
    <w:rsid w:val="00CD212C"/>
    <w:rPr>
      <w:rFonts w:ascii="Arial Narrow" w:hAnsi="Arial Narrow" w:cs="Arial"/>
      <w:b/>
      <w:i/>
      <w:color w:val="5F6062"/>
    </w:rPr>
  </w:style>
  <w:style w:type="paragraph" w:styleId="Subtitle">
    <w:name w:val="Subtitle"/>
    <w:aliases w:val="Resume Header: Resume of"/>
    <w:basedOn w:val="Normal"/>
    <w:next w:val="Normal"/>
    <w:link w:val="SubtitleChar"/>
    <w:uiPriority w:val="11"/>
    <w:qFormat/>
    <w:rsid w:val="00CD212C"/>
    <w:pPr>
      <w:tabs>
        <w:tab w:val="right" w:pos="10080"/>
      </w:tabs>
      <w:jc w:val="right"/>
    </w:pPr>
    <w:rPr>
      <w:rFonts w:cs="Arial"/>
      <w:i/>
      <w:szCs w:val="20"/>
    </w:rPr>
  </w:style>
  <w:style w:type="character" w:customStyle="1" w:styleId="SubtitleChar">
    <w:name w:val="Subtitle Char"/>
    <w:aliases w:val="Resume Header: Resume of Char"/>
    <w:basedOn w:val="DefaultParagraphFont"/>
    <w:link w:val="Subtitle"/>
    <w:uiPriority w:val="11"/>
    <w:rsid w:val="00CD212C"/>
    <w:rPr>
      <w:rFonts w:ascii="Arial" w:hAnsi="Arial" w:cs="Arial"/>
      <w:i/>
      <w:sz w:val="20"/>
      <w:szCs w:val="20"/>
    </w:rPr>
  </w:style>
  <w:style w:type="character" w:styleId="SubtleEmphasis">
    <w:name w:val="Subtle Emphasis"/>
    <w:aliases w:val="Resume Header: Name and Title"/>
    <w:uiPriority w:val="19"/>
    <w:qFormat/>
    <w:rsid w:val="00CD212C"/>
    <w:rPr>
      <w:rFonts w:cs="Arial"/>
      <w:b/>
      <w:sz w:val="24"/>
      <w:szCs w:val="24"/>
    </w:rPr>
  </w:style>
  <w:style w:type="paragraph" w:styleId="ListParagraph">
    <w:name w:val="List Paragraph"/>
    <w:basedOn w:val="Normal"/>
    <w:uiPriority w:val="34"/>
    <w:qFormat/>
    <w:rsid w:val="008B4305"/>
    <w:pPr>
      <w:ind w:left="720"/>
      <w:contextualSpacing/>
    </w:pPr>
  </w:style>
  <w:style w:type="paragraph" w:styleId="NoSpacing">
    <w:name w:val="No Spacing"/>
    <w:aliases w:val="Resume Bullet"/>
    <w:basedOn w:val="ListParagraph"/>
    <w:uiPriority w:val="1"/>
    <w:qFormat/>
    <w:rsid w:val="00CD212C"/>
    <w:pPr>
      <w:numPr>
        <w:numId w:val="1"/>
      </w:numPr>
      <w:spacing w:before="60" w:after="60"/>
    </w:pPr>
  </w:style>
  <w:style w:type="paragraph" w:styleId="BodyText">
    <w:name w:val="Body Text"/>
    <w:basedOn w:val="Normal"/>
    <w:link w:val="BodyTextChar"/>
    <w:qFormat/>
    <w:rsid w:val="00C421E8"/>
    <w:pPr>
      <w:jc w:val="both"/>
    </w:pPr>
    <w:rPr>
      <w:rFonts w:eastAsia="Times New Roman" w:cs="Times New Roman"/>
      <w:szCs w:val="20"/>
    </w:rPr>
  </w:style>
  <w:style w:type="character" w:customStyle="1" w:styleId="BodyTextChar">
    <w:name w:val="Body Text Char"/>
    <w:basedOn w:val="DefaultParagraphFont"/>
    <w:link w:val="BodyText"/>
    <w:rsid w:val="00C421E8"/>
    <w:rPr>
      <w:rFonts w:ascii="Arial" w:eastAsia="Times New Roman" w:hAnsi="Arial" w:cs="Times New Roman"/>
      <w:sz w:val="20"/>
      <w:szCs w:val="20"/>
    </w:rPr>
  </w:style>
  <w:style w:type="paragraph" w:customStyle="1" w:styleId="ResumeBulletSpecialization">
    <w:name w:val="Resume Bullet Specialization"/>
    <w:basedOn w:val="Normal"/>
    <w:qFormat/>
    <w:rsid w:val="00C421E8"/>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3625">
      <w:bodyDiv w:val="1"/>
      <w:marLeft w:val="0"/>
      <w:marRight w:val="0"/>
      <w:marTop w:val="0"/>
      <w:marBottom w:val="0"/>
      <w:divBdr>
        <w:top w:val="none" w:sz="0" w:space="0" w:color="auto"/>
        <w:left w:val="none" w:sz="0" w:space="0" w:color="auto"/>
        <w:bottom w:val="none" w:sz="0" w:space="0" w:color="auto"/>
        <w:right w:val="none" w:sz="0" w:space="0" w:color="auto"/>
      </w:divBdr>
    </w:div>
    <w:div w:id="1044671841">
      <w:bodyDiv w:val="1"/>
      <w:marLeft w:val="0"/>
      <w:marRight w:val="0"/>
      <w:marTop w:val="0"/>
      <w:marBottom w:val="0"/>
      <w:divBdr>
        <w:top w:val="none" w:sz="0" w:space="0" w:color="auto"/>
        <w:left w:val="none" w:sz="0" w:space="0" w:color="auto"/>
        <w:bottom w:val="none" w:sz="0" w:space="0" w:color="auto"/>
        <w:right w:val="none" w:sz="0" w:space="0" w:color="auto"/>
      </w:divBdr>
    </w:div>
    <w:div w:id="15591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tinez\AppData\Local\Microsoft\Windows\Temporary%20Internet%20Files\Content.Outlook\3I4WFJZN\Resume%20Template_2013_DRAFT%20(5).dotx" TargetMode="External"/></Relationships>
</file>

<file path=word/theme/theme1.xml><?xml version="1.0" encoding="utf-8"?>
<a:theme xmlns:a="http://schemas.openxmlformats.org/drawingml/2006/main" name="Office Theme">
  <a:themeElements>
    <a:clrScheme name="ScottMadden_2016">
      <a:dk1>
        <a:srgbClr val="5F6062"/>
      </a:dk1>
      <a:lt1>
        <a:srgbClr val="FFFFFF"/>
      </a:lt1>
      <a:dk2>
        <a:srgbClr val="5F6062"/>
      </a:dk2>
      <a:lt2>
        <a:srgbClr val="5F6062"/>
      </a:lt2>
      <a:accent1>
        <a:srgbClr val="5F6062"/>
      </a:accent1>
      <a:accent2>
        <a:srgbClr val="26BCD7"/>
      </a:accent2>
      <a:accent3>
        <a:srgbClr val="EE8434"/>
      </a:accent3>
      <a:accent4>
        <a:srgbClr val="62BB46"/>
      </a:accent4>
      <a:accent5>
        <a:srgbClr val="C33A32"/>
      </a:accent5>
      <a:accent6>
        <a:srgbClr val="FDBA12"/>
      </a:accent6>
      <a:hlink>
        <a:srgbClr val="5F6062"/>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Template_2013_DRAFT (5)</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 Madden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lmartinez</dc:creator>
  <cp:lastModifiedBy>Kim Powell</cp:lastModifiedBy>
  <cp:revision>3</cp:revision>
  <cp:lastPrinted>2016-06-01T16:22:00Z</cp:lastPrinted>
  <dcterms:created xsi:type="dcterms:W3CDTF">2016-06-10T16:39:00Z</dcterms:created>
  <dcterms:modified xsi:type="dcterms:W3CDTF">2017-08-15T18:40:00Z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348226;26837397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2013-08-20T12:28:34-0400</vt:lpwstr>
  </property>
  <property fmtid="{D5CDD505-2E9C-101B-9397-08002B2CF9AE}" pid="9" name="Offisync_ProviderName">
    <vt:lpwstr>Central Desktop</vt:lpwstr>
  </property>
</Properties>
</file>