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7" w:rightFromText="187" w:vertAnchor="page" w:horzAnchor="margin" w:tblpY="15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768"/>
      </w:tblGrid>
      <w:tr w:rsidR="00902801" w14:paraId="28B9EA2E" w14:textId="77777777" w:rsidTr="7B646C7B">
        <w:trPr>
          <w:trHeight w:val="887"/>
        </w:trPr>
        <w:tc>
          <w:tcPr>
            <w:tcW w:w="6768" w:type="dxa"/>
            <w:vAlign w:val="center"/>
          </w:tcPr>
          <w:p w14:paraId="59DDB01B" w14:textId="5B5C255E" w:rsidR="00902801" w:rsidRPr="00902801" w:rsidRDefault="00230269" w:rsidP="00902801">
            <w:pPr>
              <w:spacing w:before="240" w:after="240"/>
              <w:jc w:val="left"/>
              <w:rPr>
                <w:bCs/>
                <w:color w:val="FFFFFF" w:themeColor="background1"/>
                <w:sz w:val="56"/>
                <w:szCs w:val="56"/>
              </w:rPr>
            </w:pPr>
            <w:r>
              <w:rPr>
                <w:bCs/>
                <w:color w:val="26BCD7" w:themeColor="accent2"/>
                <w:sz w:val="64"/>
                <w:szCs w:val="64"/>
              </w:rPr>
              <w:t>POWER</w:t>
            </w:r>
            <w:r w:rsidR="00DE4F98" w:rsidRPr="00DE4F98">
              <w:rPr>
                <w:bCs/>
                <w:color w:val="26BCD7" w:themeColor="accent2"/>
                <w:sz w:val="64"/>
                <w:szCs w:val="64"/>
              </w:rPr>
              <w:t xml:space="preserve"> DECARBONIZATION</w:t>
            </w:r>
            <w:r>
              <w:rPr>
                <w:bCs/>
                <w:color w:val="26BCD7" w:themeColor="accent2"/>
                <w:sz w:val="64"/>
                <w:szCs w:val="64"/>
              </w:rPr>
              <w:t>: PAST AND FUTURE</w:t>
            </w:r>
          </w:p>
        </w:tc>
      </w:tr>
      <w:tr w:rsidR="00902801" w14:paraId="2EB03041" w14:textId="77777777" w:rsidTr="7B646C7B">
        <w:tc>
          <w:tcPr>
            <w:tcW w:w="6768" w:type="dxa"/>
            <w:vAlign w:val="center"/>
          </w:tcPr>
          <w:p w14:paraId="7F59AF8A" w14:textId="6DD3E25E" w:rsidR="00902801" w:rsidRPr="00902801" w:rsidRDefault="00DE4F98" w:rsidP="00902801">
            <w:pPr>
              <w:spacing w:before="240" w:after="240"/>
              <w:jc w:val="left"/>
              <w:rPr>
                <w:color w:val="5F6062" w:themeColor="text1"/>
                <w:sz w:val="32"/>
                <w:szCs w:val="32"/>
              </w:rPr>
            </w:pPr>
            <w:proofErr w:type="spellStart"/>
            <w:r>
              <w:rPr>
                <w:color w:val="5F6062" w:themeColor="text1"/>
                <w:sz w:val="36"/>
                <w:szCs w:val="36"/>
              </w:rPr>
              <w:t>ScottMadden</w:t>
            </w:r>
            <w:r w:rsidR="00D92AED">
              <w:rPr>
                <w:color w:val="5F6062" w:themeColor="text1"/>
                <w:sz w:val="36"/>
                <w:szCs w:val="36"/>
              </w:rPr>
              <w:t>’s</w:t>
            </w:r>
            <w:proofErr w:type="spellEnd"/>
            <w:r>
              <w:rPr>
                <w:color w:val="5F6062" w:themeColor="text1"/>
                <w:sz w:val="36"/>
                <w:szCs w:val="36"/>
              </w:rPr>
              <w:t xml:space="preserve"> Energy Practice</w:t>
            </w:r>
          </w:p>
        </w:tc>
      </w:tr>
      <w:tr w:rsidR="00902801" w14:paraId="54EAE832" w14:textId="77777777" w:rsidTr="7B646C7B">
        <w:tc>
          <w:tcPr>
            <w:tcW w:w="6768" w:type="dxa"/>
            <w:vAlign w:val="center"/>
          </w:tcPr>
          <w:p w14:paraId="3837EF7A" w14:textId="015254B6" w:rsidR="00902801" w:rsidRPr="00902801" w:rsidRDefault="00D17CF5" w:rsidP="00902801">
            <w:pPr>
              <w:spacing w:before="240" w:after="240"/>
              <w:jc w:val="left"/>
              <w:rPr>
                <w:color w:val="5F6062" w:themeColor="text1"/>
                <w:sz w:val="32"/>
                <w:szCs w:val="32"/>
              </w:rPr>
            </w:pPr>
            <w:r>
              <w:rPr>
                <w:color w:val="5F6062" w:themeColor="accent1"/>
                <w:sz w:val="28"/>
                <w:szCs w:val="28"/>
              </w:rPr>
              <w:t>October</w:t>
            </w:r>
            <w:r w:rsidR="00ED28F7" w:rsidRPr="7B646C7B">
              <w:rPr>
                <w:color w:val="5F6062" w:themeColor="accent1"/>
                <w:sz w:val="28"/>
                <w:szCs w:val="28"/>
              </w:rPr>
              <w:t xml:space="preserve"> </w:t>
            </w:r>
            <w:r w:rsidR="00DE4F98" w:rsidRPr="7B646C7B">
              <w:rPr>
                <w:color w:val="5F6062" w:themeColor="accent1"/>
                <w:sz w:val="28"/>
                <w:szCs w:val="28"/>
              </w:rPr>
              <w:t>2021</w:t>
            </w:r>
          </w:p>
        </w:tc>
      </w:tr>
    </w:tbl>
    <w:p w14:paraId="52DAADF0" w14:textId="77777777" w:rsidR="00902801" w:rsidRDefault="00902801" w:rsidP="00902801">
      <w:pPr>
        <w:jc w:val="left"/>
        <w:rPr>
          <w:rFonts w:cstheme="minorHAnsi"/>
          <w:b/>
          <w:caps/>
          <w:color w:val="5F6062" w:themeColor="accent1"/>
        </w:rPr>
      </w:pPr>
      <w:r w:rsidRPr="003204FB">
        <w:rPr>
          <w:rFonts w:cs="Arial"/>
          <w:noProof/>
          <w:sz w:val="40"/>
          <w:szCs w:val="40"/>
        </w:rPr>
        <w:drawing>
          <wp:anchor distT="0" distB="0" distL="114300" distR="114300" simplePos="0" relativeHeight="251658240" behindDoc="1" locked="1" layoutInCell="1" allowOverlap="1" wp14:anchorId="17DDDA2E" wp14:editId="3507CA7D">
            <wp:simplePos x="0" y="0"/>
            <wp:positionH relativeFrom="column">
              <wp:posOffset>-323215</wp:posOffset>
            </wp:positionH>
            <wp:positionV relativeFrom="page">
              <wp:posOffset>370205</wp:posOffset>
            </wp:positionV>
            <wp:extent cx="7040880" cy="9317355"/>
            <wp:effectExtent l="0" t="0" r="7620" b="0"/>
            <wp:wrapNone/>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nergy_Word Cover Background.png"/>
                    <pic:cNvPicPr/>
                  </pic:nvPicPr>
                  <pic:blipFill rotWithShape="1">
                    <a:blip r:embed="rId11" cstate="print">
                      <a:extLst>
                        <a:ext uri="{28A0092B-C50C-407E-A947-70E740481C1C}">
                          <a14:useLocalDpi xmlns:a14="http://schemas.microsoft.com/office/drawing/2010/main" val="0"/>
                        </a:ext>
                      </a:extLst>
                    </a:blip>
                    <a:srcRect l="4226" t="3141" r="4259" b="3281"/>
                    <a:stretch/>
                  </pic:blipFill>
                  <pic:spPr bwMode="auto">
                    <a:xfrm>
                      <a:off x="0" y="0"/>
                      <a:ext cx="7040880" cy="93173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dt>
      <w:sdtPr>
        <w:rPr>
          <w:rFonts w:cstheme="minorHAnsi"/>
          <w:b/>
          <w:caps/>
          <w:color w:val="5F6062" w:themeColor="accent1"/>
        </w:rPr>
        <w:id w:val="-84158292"/>
        <w:docPartObj>
          <w:docPartGallery w:val="Cover Pages"/>
          <w:docPartUnique/>
        </w:docPartObj>
      </w:sdtPr>
      <w:sdtEndPr>
        <w:rPr>
          <w:caps w:val="0"/>
        </w:rPr>
      </w:sdtEndPr>
      <w:sdtContent>
        <w:p w14:paraId="2A4FBFFB" w14:textId="77777777" w:rsidR="00CA6BE4" w:rsidRPr="00D721A7" w:rsidRDefault="00CA6BE4" w:rsidP="007E6521">
          <w:pPr>
            <w:rPr>
              <w:noProof/>
            </w:rPr>
          </w:pPr>
        </w:p>
        <w:p w14:paraId="5084DA52" w14:textId="77777777" w:rsidR="00CA6BE4" w:rsidRPr="00D721A7" w:rsidRDefault="00CA6BE4" w:rsidP="007E6521"/>
        <w:p w14:paraId="13B86956" w14:textId="77777777" w:rsidR="000728A7" w:rsidRPr="00D721A7" w:rsidRDefault="000728A7" w:rsidP="007E6521"/>
        <w:p w14:paraId="24ADD126" w14:textId="77777777" w:rsidR="000728A7" w:rsidRPr="00D721A7" w:rsidRDefault="000728A7" w:rsidP="007E6521"/>
        <w:p w14:paraId="3B3D6E87" w14:textId="77777777" w:rsidR="000728A7" w:rsidRPr="00D721A7" w:rsidRDefault="000728A7" w:rsidP="007E6521"/>
        <w:p w14:paraId="3EC61513" w14:textId="77777777" w:rsidR="000728A7" w:rsidRPr="00D721A7" w:rsidRDefault="000728A7" w:rsidP="007E6521"/>
        <w:p w14:paraId="5023402F" w14:textId="77777777" w:rsidR="000728A7" w:rsidRPr="00D721A7" w:rsidRDefault="000728A7" w:rsidP="007E6521"/>
        <w:p w14:paraId="73623372" w14:textId="77777777" w:rsidR="000728A7" w:rsidRPr="00D721A7" w:rsidRDefault="000728A7" w:rsidP="007E6521"/>
        <w:p w14:paraId="195C9D98" w14:textId="77777777" w:rsidR="000728A7" w:rsidRPr="00D721A7" w:rsidRDefault="000728A7" w:rsidP="007E6521"/>
        <w:p w14:paraId="11168964" w14:textId="77777777" w:rsidR="000728A7" w:rsidRPr="00D721A7" w:rsidRDefault="000728A7" w:rsidP="007E6521"/>
        <w:p w14:paraId="28A18B82" w14:textId="77777777" w:rsidR="000728A7" w:rsidRPr="00D721A7" w:rsidRDefault="000728A7" w:rsidP="007E6521"/>
        <w:p w14:paraId="5871CD52" w14:textId="77777777" w:rsidR="000728A7" w:rsidRPr="00D721A7" w:rsidRDefault="000728A7" w:rsidP="007E6521"/>
        <w:p w14:paraId="20DEAD7D" w14:textId="77777777" w:rsidR="000728A7" w:rsidRPr="00D721A7" w:rsidRDefault="000728A7" w:rsidP="007E6521"/>
        <w:p w14:paraId="19B26111" w14:textId="77777777" w:rsidR="00902801" w:rsidRPr="00D721A7" w:rsidRDefault="00902801" w:rsidP="007E6521"/>
        <w:p w14:paraId="6B4275AE" w14:textId="77777777" w:rsidR="00902801" w:rsidRPr="00D721A7" w:rsidRDefault="00902801" w:rsidP="007E6521"/>
        <w:p w14:paraId="6FA9905D" w14:textId="77777777" w:rsidR="00902801" w:rsidRPr="00D721A7" w:rsidRDefault="00902801" w:rsidP="007E6521"/>
        <w:p w14:paraId="57143F3D" w14:textId="77777777" w:rsidR="00902801" w:rsidRPr="00D721A7" w:rsidRDefault="00902801" w:rsidP="007E6521"/>
        <w:p w14:paraId="3ECADFF3" w14:textId="77777777" w:rsidR="00902801" w:rsidRPr="00D721A7" w:rsidRDefault="00902801" w:rsidP="007E6521"/>
        <w:p w14:paraId="07FE507C" w14:textId="77777777" w:rsidR="000728A7" w:rsidRPr="00D721A7" w:rsidRDefault="000728A7" w:rsidP="007E6521">
          <w:pPr>
            <w:sectPr w:rsidR="000728A7" w:rsidRPr="00D721A7" w:rsidSect="00CA6BE4">
              <w:pgSz w:w="12240" w:h="15840" w:code="1"/>
              <w:pgMar w:top="1987" w:right="1080" w:bottom="907" w:left="1080" w:header="720" w:footer="720" w:gutter="0"/>
              <w:pgNumType w:start="0"/>
              <w:cols w:space="720"/>
              <w:titlePg/>
              <w:docGrid w:linePitch="299"/>
            </w:sectPr>
          </w:pPr>
        </w:p>
        <w:p w14:paraId="42626B68" w14:textId="77777777" w:rsidR="000728A7" w:rsidRPr="00D721A7" w:rsidRDefault="000728A7" w:rsidP="007E6521">
          <w:pPr>
            <w:sectPr w:rsidR="000728A7" w:rsidRPr="00D721A7" w:rsidSect="003D323F">
              <w:headerReference w:type="first" r:id="rId12"/>
              <w:footerReference w:type="first" r:id="rId13"/>
              <w:pgSz w:w="12240" w:h="15840" w:code="1"/>
              <w:pgMar w:top="1987" w:right="1080" w:bottom="1656" w:left="1080" w:header="720" w:footer="720" w:gutter="0"/>
              <w:cols w:space="720"/>
              <w:titlePg/>
              <w:docGrid w:linePitch="299"/>
            </w:sectPr>
          </w:pPr>
        </w:p>
        <w:p w14:paraId="54BF3DC3" w14:textId="4FBBFCCD" w:rsidR="00CA6BE4" w:rsidRPr="00D721A7" w:rsidRDefault="00B43DF3" w:rsidP="00B43DF3">
          <w:pPr>
            <w:pStyle w:val="MinorLeft"/>
          </w:pPr>
          <w:r>
            <w:t>Overview</w:t>
          </w:r>
        </w:p>
      </w:sdtContent>
    </w:sdt>
    <w:p w14:paraId="74D29950" w14:textId="3B08F4EB" w:rsidR="00DE4F98" w:rsidRDefault="00DE4F98" w:rsidP="007E6521">
      <w:pPr>
        <w:rPr>
          <w:rFonts w:cs="Arial"/>
        </w:rPr>
      </w:pPr>
      <w:r>
        <w:rPr>
          <w:rFonts w:cs="Arial"/>
        </w:rPr>
        <w:t xml:space="preserve">Decarbonization has become an increasingly important issue in the </w:t>
      </w:r>
      <w:r w:rsidR="00162DE4">
        <w:rPr>
          <w:rFonts w:cs="Arial"/>
        </w:rPr>
        <w:t xml:space="preserve">United States </w:t>
      </w:r>
      <w:r>
        <w:rPr>
          <w:rFonts w:cs="Arial"/>
        </w:rPr>
        <w:t xml:space="preserve">as more states, cities, and utilities commit to </w:t>
      </w:r>
      <w:r w:rsidR="009A43F7">
        <w:rPr>
          <w:rFonts w:cs="Arial"/>
        </w:rPr>
        <w:t>net-</w:t>
      </w:r>
      <w:r>
        <w:rPr>
          <w:rFonts w:cs="Arial"/>
        </w:rPr>
        <w:t>zero</w:t>
      </w:r>
      <w:r w:rsidR="009A43F7">
        <w:rPr>
          <w:rFonts w:cs="Arial"/>
        </w:rPr>
        <w:t xml:space="preserve"> </w:t>
      </w:r>
      <w:r w:rsidR="00C90939">
        <w:rPr>
          <w:rFonts w:cs="Arial"/>
        </w:rPr>
        <w:t>carbon-emission</w:t>
      </w:r>
      <w:r>
        <w:rPr>
          <w:rFonts w:cs="Arial"/>
        </w:rPr>
        <w:t>s goals.</w:t>
      </w:r>
      <w:r w:rsidR="00181F3F">
        <w:rPr>
          <w:rFonts w:cs="Arial"/>
        </w:rPr>
        <w:t xml:space="preserve"> </w:t>
      </w:r>
      <w:r>
        <w:rPr>
          <w:rFonts w:cs="Arial"/>
        </w:rPr>
        <w:t xml:space="preserve">This report analyzes historical carbon reductions in the electric sector to see how this space has </w:t>
      </w:r>
      <w:r w:rsidR="00E02F16">
        <w:rPr>
          <w:rFonts w:cs="Arial"/>
        </w:rPr>
        <w:t xml:space="preserve">reduced </w:t>
      </w:r>
      <w:r w:rsidR="009E3309">
        <w:rPr>
          <w:rFonts w:cs="Arial"/>
        </w:rPr>
        <w:t xml:space="preserve">carbon </w:t>
      </w:r>
      <w:r w:rsidR="00E02F16">
        <w:rPr>
          <w:rFonts w:cs="Arial"/>
        </w:rPr>
        <w:t>emissions to date</w:t>
      </w:r>
      <w:r>
        <w:rPr>
          <w:rFonts w:cs="Arial"/>
        </w:rPr>
        <w:t xml:space="preserve">. It also examines recent integrated resource plans </w:t>
      </w:r>
      <w:r w:rsidR="003633DF">
        <w:rPr>
          <w:rFonts w:cs="Arial"/>
        </w:rPr>
        <w:t xml:space="preserve">(IRPs) </w:t>
      </w:r>
      <w:r>
        <w:rPr>
          <w:rFonts w:cs="Arial"/>
        </w:rPr>
        <w:t xml:space="preserve">from electric utilities that have committed to 100% net-zero carbon targets to gauge how decarbonization efforts may shift in the future. </w:t>
      </w:r>
    </w:p>
    <w:p w14:paraId="4E507F15" w14:textId="77777777" w:rsidR="00DE4F98" w:rsidRDefault="00DE4F98" w:rsidP="007E6521">
      <w:pPr>
        <w:rPr>
          <w:rFonts w:cs="Arial"/>
        </w:rPr>
      </w:pPr>
    </w:p>
    <w:p w14:paraId="01282D90" w14:textId="6859D60A" w:rsidR="00DE4F98" w:rsidRDefault="00DE4F98" w:rsidP="007E6521">
      <w:pPr>
        <w:rPr>
          <w:rFonts w:cs="Arial"/>
        </w:rPr>
      </w:pPr>
      <w:r>
        <w:rPr>
          <w:rFonts w:cs="Arial"/>
        </w:rPr>
        <w:t xml:space="preserve">Our analysis finds that since 2005 fossil fuel switching (e.g., </w:t>
      </w:r>
      <w:r w:rsidR="00D77E82">
        <w:rPr>
          <w:rFonts w:cs="Arial"/>
        </w:rPr>
        <w:t xml:space="preserve">switching from </w:t>
      </w:r>
      <w:r>
        <w:rPr>
          <w:rFonts w:cs="Arial"/>
        </w:rPr>
        <w:t>coal to natural gas generation) has provided more emissions reductions than the addition of renewable generation.</w:t>
      </w:r>
      <w:r w:rsidR="00181F3F">
        <w:rPr>
          <w:rFonts w:cs="Arial"/>
        </w:rPr>
        <w:t xml:space="preserve"> </w:t>
      </w:r>
      <w:r>
        <w:rPr>
          <w:rFonts w:cs="Arial"/>
        </w:rPr>
        <w:t>Fossil fuel switching has also produced significant carbon reductions (in absolute terms) in locations that lack robust state policies supporting renewable energy.</w:t>
      </w:r>
      <w:r w:rsidR="00181F3F">
        <w:rPr>
          <w:rFonts w:cs="Arial"/>
        </w:rPr>
        <w:t xml:space="preserve"> </w:t>
      </w:r>
    </w:p>
    <w:p w14:paraId="7D68941F" w14:textId="77777777" w:rsidR="00DE4F98" w:rsidRDefault="00DE4F98" w:rsidP="007E6521">
      <w:pPr>
        <w:rPr>
          <w:rFonts w:cs="Arial"/>
        </w:rPr>
      </w:pPr>
    </w:p>
    <w:p w14:paraId="30076CEA" w14:textId="3169C963" w:rsidR="00DE4F98" w:rsidRDefault="00835F0B" w:rsidP="007E6521">
      <w:pPr>
        <w:rPr>
          <w:rFonts w:cs="Arial"/>
        </w:rPr>
      </w:pPr>
      <w:r>
        <w:rPr>
          <w:rFonts w:cs="Arial"/>
        </w:rPr>
        <w:t xml:space="preserve">The </w:t>
      </w:r>
      <w:r w:rsidR="0055034C">
        <w:rPr>
          <w:rFonts w:cs="Arial"/>
        </w:rPr>
        <w:t xml:space="preserve">review of </w:t>
      </w:r>
      <w:r w:rsidR="00BF1BC9">
        <w:rPr>
          <w:rFonts w:cs="Arial"/>
        </w:rPr>
        <w:t>IRPs</w:t>
      </w:r>
      <w:r>
        <w:rPr>
          <w:rFonts w:cs="Arial"/>
        </w:rPr>
        <w:t xml:space="preserve"> finds</w:t>
      </w:r>
      <w:r w:rsidR="00E12785">
        <w:rPr>
          <w:rFonts w:cs="Arial"/>
        </w:rPr>
        <w:t xml:space="preserve"> </w:t>
      </w:r>
      <w:r w:rsidR="004B421A">
        <w:rPr>
          <w:rFonts w:cs="Arial"/>
        </w:rPr>
        <w:t xml:space="preserve">utilities pursuing </w:t>
      </w:r>
      <w:r w:rsidR="004B140B">
        <w:rPr>
          <w:rFonts w:cs="Arial"/>
        </w:rPr>
        <w:t xml:space="preserve">100% </w:t>
      </w:r>
      <w:r w:rsidR="0021328C">
        <w:rPr>
          <w:rFonts w:cs="Arial"/>
        </w:rPr>
        <w:t>decarbonization anticipate</w:t>
      </w:r>
      <w:r w:rsidR="00B131B1">
        <w:rPr>
          <w:rFonts w:cs="Arial"/>
        </w:rPr>
        <w:t xml:space="preserve"> rapidly expanding </w:t>
      </w:r>
      <w:r w:rsidR="00B3093D">
        <w:rPr>
          <w:rFonts w:cs="Arial"/>
        </w:rPr>
        <w:t>utility</w:t>
      </w:r>
      <w:r w:rsidR="00DE4F98">
        <w:rPr>
          <w:rFonts w:cs="Arial"/>
        </w:rPr>
        <w:t>-scale renewables and energy storage</w:t>
      </w:r>
      <w:r w:rsidR="00AE157B">
        <w:rPr>
          <w:rFonts w:cs="Arial"/>
        </w:rPr>
        <w:t>,</w:t>
      </w:r>
      <w:r w:rsidR="00E057DA">
        <w:rPr>
          <w:rFonts w:cs="Arial"/>
        </w:rPr>
        <w:t xml:space="preserve"> while maintaining natural gas generation as a critical resource for reliability purposes.</w:t>
      </w:r>
    </w:p>
    <w:p w14:paraId="27EA1192" w14:textId="49028B4E" w:rsidR="00DE4F98" w:rsidRDefault="00DE4F98" w:rsidP="007E6521">
      <w:pPr>
        <w:rPr>
          <w:rFonts w:cs="Arial"/>
        </w:rPr>
      </w:pPr>
    </w:p>
    <w:p w14:paraId="6914EC3C" w14:textId="490AD271" w:rsidR="00911EF6" w:rsidRPr="00310308" w:rsidRDefault="00402B9A" w:rsidP="007E6521">
      <w:pPr>
        <w:rPr>
          <w:rFonts w:cs="Arial"/>
        </w:rPr>
      </w:pPr>
      <w:r w:rsidRPr="002B33A6">
        <w:rPr>
          <w:rFonts w:cs="Arial"/>
        </w:rPr>
        <w:t>This shift</w:t>
      </w:r>
      <w:r w:rsidR="00A07AD4" w:rsidRPr="00310308">
        <w:rPr>
          <w:rFonts w:cs="Arial"/>
        </w:rPr>
        <w:t xml:space="preserve"> </w:t>
      </w:r>
      <w:r w:rsidRPr="002B33A6">
        <w:rPr>
          <w:rFonts w:cs="Arial"/>
        </w:rPr>
        <w:t xml:space="preserve">in reductions, which </w:t>
      </w:r>
      <w:r w:rsidR="003D3DAF">
        <w:rPr>
          <w:rFonts w:cs="Arial"/>
        </w:rPr>
        <w:t>was</w:t>
      </w:r>
      <w:r w:rsidR="003D3DAF" w:rsidRPr="002B33A6">
        <w:rPr>
          <w:rFonts w:cs="Arial"/>
        </w:rPr>
        <w:t xml:space="preserve"> </w:t>
      </w:r>
      <w:r w:rsidR="00507AE5" w:rsidRPr="002B33A6">
        <w:rPr>
          <w:rFonts w:cs="Arial"/>
        </w:rPr>
        <w:t xml:space="preserve">historically </w:t>
      </w:r>
      <w:r w:rsidR="00EE5980" w:rsidRPr="002B33A6">
        <w:rPr>
          <w:rFonts w:cs="Arial"/>
        </w:rPr>
        <w:t>largely</w:t>
      </w:r>
      <w:r w:rsidR="00214D52" w:rsidRPr="002B33A6">
        <w:rPr>
          <w:rFonts w:cs="Arial"/>
        </w:rPr>
        <w:t xml:space="preserve"> due to</w:t>
      </w:r>
      <w:r w:rsidR="00507AE5" w:rsidRPr="002B33A6">
        <w:rPr>
          <w:rFonts w:cs="Arial"/>
        </w:rPr>
        <w:t xml:space="preserve"> fossil fuel switching but </w:t>
      </w:r>
      <w:r w:rsidR="003D3DAF">
        <w:rPr>
          <w:rFonts w:cs="Arial"/>
        </w:rPr>
        <w:t>is</w:t>
      </w:r>
      <w:r w:rsidR="003D3DAF" w:rsidRPr="002B33A6">
        <w:rPr>
          <w:rFonts w:cs="Arial"/>
        </w:rPr>
        <w:t xml:space="preserve"> </w:t>
      </w:r>
      <w:r w:rsidR="00981108" w:rsidRPr="002B33A6">
        <w:rPr>
          <w:rFonts w:cs="Arial"/>
        </w:rPr>
        <w:t xml:space="preserve">anticipated to </w:t>
      </w:r>
      <w:r w:rsidR="00214D52" w:rsidRPr="002B33A6">
        <w:rPr>
          <w:rFonts w:cs="Arial"/>
        </w:rPr>
        <w:t xml:space="preserve">be </w:t>
      </w:r>
      <w:r w:rsidR="00EE5980" w:rsidRPr="002B33A6">
        <w:rPr>
          <w:rFonts w:cs="Arial"/>
        </w:rPr>
        <w:t>from carbon-free</w:t>
      </w:r>
      <w:r w:rsidR="00507AE5" w:rsidRPr="002B33A6">
        <w:rPr>
          <w:rFonts w:cs="Arial"/>
        </w:rPr>
        <w:t xml:space="preserve"> generation and energy storage</w:t>
      </w:r>
      <w:r w:rsidR="00214D52" w:rsidRPr="002B33A6">
        <w:rPr>
          <w:rFonts w:cs="Arial"/>
        </w:rPr>
        <w:t xml:space="preserve"> in the future</w:t>
      </w:r>
      <w:r w:rsidR="00A07AD4" w:rsidRPr="00310308">
        <w:rPr>
          <w:rFonts w:cs="Arial"/>
        </w:rPr>
        <w:t xml:space="preserve">, </w:t>
      </w:r>
      <w:r w:rsidR="007A3AA1" w:rsidRPr="00310308">
        <w:rPr>
          <w:rFonts w:cs="Arial"/>
        </w:rPr>
        <w:t>highlights the</w:t>
      </w:r>
      <w:r w:rsidR="00A07AD4" w:rsidRPr="00310308">
        <w:rPr>
          <w:rFonts w:cs="Arial"/>
        </w:rPr>
        <w:t xml:space="preserve"> </w:t>
      </w:r>
      <w:r w:rsidR="00911EF6" w:rsidRPr="00310308">
        <w:rPr>
          <w:rFonts w:cs="Arial"/>
        </w:rPr>
        <w:t>changing</w:t>
      </w:r>
      <w:r w:rsidR="00A07AD4" w:rsidRPr="00310308">
        <w:rPr>
          <w:rFonts w:cs="Arial"/>
        </w:rPr>
        <w:t xml:space="preserve"> nature of </w:t>
      </w:r>
      <w:r w:rsidR="00911EF6" w:rsidRPr="00310308">
        <w:rPr>
          <w:rFonts w:cs="Arial"/>
        </w:rPr>
        <w:t xml:space="preserve">the </w:t>
      </w:r>
      <w:r w:rsidR="00A07AD4" w:rsidRPr="00310308">
        <w:rPr>
          <w:rFonts w:cs="Arial"/>
        </w:rPr>
        <w:t xml:space="preserve">decarbonization </w:t>
      </w:r>
      <w:r w:rsidR="00911EF6" w:rsidRPr="00310308">
        <w:rPr>
          <w:rFonts w:cs="Arial"/>
        </w:rPr>
        <w:t xml:space="preserve">landscape </w:t>
      </w:r>
      <w:r w:rsidR="00A07AD4" w:rsidRPr="00310308">
        <w:rPr>
          <w:rFonts w:cs="Arial"/>
        </w:rPr>
        <w:t>in the U</w:t>
      </w:r>
      <w:r w:rsidR="00782648">
        <w:rPr>
          <w:rFonts w:cs="Arial"/>
        </w:rPr>
        <w:t>.</w:t>
      </w:r>
      <w:r w:rsidR="00A07AD4" w:rsidRPr="00310308">
        <w:rPr>
          <w:rFonts w:cs="Arial"/>
        </w:rPr>
        <w:t>S</w:t>
      </w:r>
      <w:r w:rsidR="00782648">
        <w:rPr>
          <w:rFonts w:cs="Arial"/>
        </w:rPr>
        <w:t>.</w:t>
      </w:r>
      <w:r w:rsidR="00A07AD4" w:rsidRPr="00310308">
        <w:rPr>
          <w:rFonts w:cs="Arial"/>
        </w:rPr>
        <w:t xml:space="preserve"> </w:t>
      </w:r>
      <w:r w:rsidR="00911EF6" w:rsidRPr="00310308">
        <w:rPr>
          <w:rFonts w:cs="Arial"/>
        </w:rPr>
        <w:t xml:space="preserve">power sector. More importantly, it showcases the </w:t>
      </w:r>
      <w:r w:rsidR="007A3AA1" w:rsidRPr="00310308">
        <w:rPr>
          <w:rFonts w:cs="Arial"/>
        </w:rPr>
        <w:t xml:space="preserve">complexity faced by utilities as they </w:t>
      </w:r>
      <w:r w:rsidR="00911EF6" w:rsidRPr="00310308">
        <w:rPr>
          <w:rFonts w:cs="Arial"/>
        </w:rPr>
        <w:t xml:space="preserve">build decarbonization plans </w:t>
      </w:r>
      <w:r w:rsidR="00505DD4" w:rsidRPr="002B33A6">
        <w:rPr>
          <w:rFonts w:cs="Arial"/>
        </w:rPr>
        <w:t xml:space="preserve">while recognizing </w:t>
      </w:r>
      <w:r w:rsidR="00911EF6" w:rsidRPr="00310308">
        <w:rPr>
          <w:rFonts w:cs="Arial"/>
        </w:rPr>
        <w:t>t</w:t>
      </w:r>
      <w:r w:rsidR="00A21B38" w:rsidRPr="00310308">
        <w:rPr>
          <w:rFonts w:cs="Arial"/>
        </w:rPr>
        <w:t xml:space="preserve">here is no single cost-effective </w:t>
      </w:r>
      <w:r w:rsidR="00DE0D5A" w:rsidRPr="00310308">
        <w:rPr>
          <w:rFonts w:cs="Arial"/>
        </w:rPr>
        <w:t>technology</w:t>
      </w:r>
      <w:r w:rsidR="00A21B38" w:rsidRPr="00310308">
        <w:rPr>
          <w:rFonts w:cs="Arial"/>
        </w:rPr>
        <w:t xml:space="preserve"> tha</w:t>
      </w:r>
      <w:r w:rsidR="00A07AD4" w:rsidRPr="00310308">
        <w:rPr>
          <w:rFonts w:cs="Arial"/>
        </w:rPr>
        <w:t xml:space="preserve">t allows </w:t>
      </w:r>
      <w:r w:rsidR="00DE0D5A" w:rsidRPr="00310308">
        <w:rPr>
          <w:rFonts w:cs="Arial"/>
        </w:rPr>
        <w:t>a</w:t>
      </w:r>
      <w:r w:rsidR="00A07AD4" w:rsidRPr="00310308">
        <w:rPr>
          <w:rFonts w:cs="Arial"/>
        </w:rPr>
        <w:t xml:space="preserve"> utility to decarbonize 100%.</w:t>
      </w:r>
      <w:r w:rsidR="00181F3F">
        <w:rPr>
          <w:rFonts w:cs="Arial"/>
        </w:rPr>
        <w:t xml:space="preserve"> </w:t>
      </w:r>
      <w:r w:rsidR="00A07AD4" w:rsidRPr="00310308">
        <w:rPr>
          <w:rFonts w:cs="Arial"/>
        </w:rPr>
        <w:t xml:space="preserve">A variety of </w:t>
      </w:r>
      <w:r w:rsidR="00911EF6" w:rsidRPr="00310308">
        <w:rPr>
          <w:rFonts w:cs="Arial"/>
        </w:rPr>
        <w:t xml:space="preserve">mature </w:t>
      </w:r>
      <w:r w:rsidR="00A07AD4" w:rsidRPr="00310308">
        <w:rPr>
          <w:rFonts w:cs="Arial"/>
        </w:rPr>
        <w:t>technologies</w:t>
      </w:r>
      <w:r w:rsidR="004E007C">
        <w:rPr>
          <w:rFonts w:cs="Arial"/>
        </w:rPr>
        <w:t>,</w:t>
      </w:r>
      <w:r w:rsidR="00911EF6" w:rsidRPr="00310308">
        <w:rPr>
          <w:rFonts w:cs="Arial"/>
        </w:rPr>
        <w:t xml:space="preserve"> </w:t>
      </w:r>
      <w:r w:rsidR="00C96A11" w:rsidRPr="00310308">
        <w:rPr>
          <w:rFonts w:cs="Arial"/>
        </w:rPr>
        <w:t>like</w:t>
      </w:r>
      <w:r w:rsidR="00911EF6" w:rsidRPr="00310308">
        <w:rPr>
          <w:rFonts w:cs="Arial"/>
        </w:rPr>
        <w:t xml:space="preserve"> </w:t>
      </w:r>
      <w:r w:rsidR="00836DE8" w:rsidRPr="002B33A6">
        <w:rPr>
          <w:rFonts w:cs="Arial"/>
        </w:rPr>
        <w:t>non-coal</w:t>
      </w:r>
      <w:r w:rsidR="00911EF6" w:rsidRPr="00310308">
        <w:rPr>
          <w:rFonts w:cs="Arial"/>
        </w:rPr>
        <w:t xml:space="preserve"> generation</w:t>
      </w:r>
      <w:r w:rsidR="00836DE8" w:rsidRPr="002B33A6">
        <w:rPr>
          <w:rFonts w:cs="Arial"/>
        </w:rPr>
        <w:t xml:space="preserve"> (</w:t>
      </w:r>
      <w:r w:rsidR="003B5B5D" w:rsidRPr="002B33A6">
        <w:rPr>
          <w:rFonts w:cs="Arial"/>
        </w:rPr>
        <w:t>i.e.,</w:t>
      </w:r>
      <w:r w:rsidR="00836DE8" w:rsidRPr="002B33A6">
        <w:rPr>
          <w:rFonts w:cs="Arial"/>
        </w:rPr>
        <w:t xml:space="preserve"> natural gas, solar, wind, nuclear, etc.)</w:t>
      </w:r>
      <w:r w:rsidR="00C17FE3" w:rsidRPr="002B33A6">
        <w:rPr>
          <w:rFonts w:cs="Arial"/>
        </w:rPr>
        <w:t xml:space="preserve"> and energy efficiency</w:t>
      </w:r>
      <w:r w:rsidR="00836DE8" w:rsidRPr="002B33A6">
        <w:rPr>
          <w:rFonts w:cs="Arial"/>
        </w:rPr>
        <w:t xml:space="preserve"> programs</w:t>
      </w:r>
      <w:r w:rsidR="004E007C">
        <w:rPr>
          <w:rFonts w:cs="Arial"/>
        </w:rPr>
        <w:t>,</w:t>
      </w:r>
      <w:r w:rsidR="00585976" w:rsidRPr="002B33A6">
        <w:rPr>
          <w:rStyle w:val="FootnoteReference"/>
          <w:rFonts w:cs="Arial"/>
        </w:rPr>
        <w:footnoteReference w:id="2"/>
      </w:r>
      <w:r w:rsidR="00911EF6" w:rsidRPr="00310308">
        <w:rPr>
          <w:rFonts w:cs="Arial"/>
        </w:rPr>
        <w:t xml:space="preserve"> </w:t>
      </w:r>
      <w:r w:rsidR="00D00338" w:rsidRPr="00310308">
        <w:rPr>
          <w:rFonts w:cs="Arial"/>
        </w:rPr>
        <w:t>may</w:t>
      </w:r>
      <w:r w:rsidR="00911EF6" w:rsidRPr="00310308">
        <w:rPr>
          <w:rFonts w:cs="Arial"/>
        </w:rPr>
        <w:t xml:space="preserve"> need to be partnered with nascent technologies</w:t>
      </w:r>
      <w:r w:rsidR="004E007C">
        <w:rPr>
          <w:rFonts w:cs="Arial"/>
        </w:rPr>
        <w:t>,</w:t>
      </w:r>
      <w:r w:rsidR="00911EF6" w:rsidRPr="00310308">
        <w:rPr>
          <w:rFonts w:cs="Arial"/>
        </w:rPr>
        <w:t xml:space="preserve"> like </w:t>
      </w:r>
      <w:r w:rsidR="008B4D34" w:rsidRPr="002B33A6">
        <w:rPr>
          <w:rFonts w:cs="Arial"/>
        </w:rPr>
        <w:t xml:space="preserve">energy storage, </w:t>
      </w:r>
      <w:r w:rsidR="00911EF6" w:rsidRPr="00310308">
        <w:rPr>
          <w:rFonts w:cs="Arial"/>
        </w:rPr>
        <w:t>carbon sequestration</w:t>
      </w:r>
      <w:r w:rsidR="00E96D04">
        <w:rPr>
          <w:rFonts w:cs="Arial"/>
        </w:rPr>
        <w:t>,</w:t>
      </w:r>
      <w:r w:rsidR="00911EF6" w:rsidRPr="00310308">
        <w:rPr>
          <w:rFonts w:cs="Arial"/>
        </w:rPr>
        <w:t xml:space="preserve"> and small modular nuclear generation</w:t>
      </w:r>
      <w:r w:rsidR="004E007C">
        <w:rPr>
          <w:rFonts w:cs="Arial"/>
        </w:rPr>
        <w:t>,</w:t>
      </w:r>
      <w:r w:rsidR="00911EF6" w:rsidRPr="00310308">
        <w:rPr>
          <w:rFonts w:cs="Arial"/>
        </w:rPr>
        <w:t xml:space="preserve"> </w:t>
      </w:r>
      <w:proofErr w:type="gramStart"/>
      <w:r w:rsidR="00911EF6" w:rsidRPr="00310308">
        <w:rPr>
          <w:rFonts w:cs="Arial"/>
        </w:rPr>
        <w:t>in order to</w:t>
      </w:r>
      <w:proofErr w:type="gramEnd"/>
      <w:r w:rsidR="00911EF6" w:rsidRPr="00310308">
        <w:rPr>
          <w:rFonts w:cs="Arial"/>
        </w:rPr>
        <w:t xml:space="preserve"> </w:t>
      </w:r>
      <w:r w:rsidR="00A07AD4" w:rsidRPr="00310308">
        <w:rPr>
          <w:rFonts w:cs="Arial"/>
        </w:rPr>
        <w:t xml:space="preserve">achieve </w:t>
      </w:r>
      <w:r w:rsidR="00D00338" w:rsidRPr="00310308">
        <w:rPr>
          <w:rFonts w:cs="Arial"/>
        </w:rPr>
        <w:t xml:space="preserve">100% </w:t>
      </w:r>
      <w:r w:rsidR="00A07AD4" w:rsidRPr="00310308">
        <w:rPr>
          <w:rFonts w:cs="Arial"/>
        </w:rPr>
        <w:t>net-zero emissions</w:t>
      </w:r>
      <w:r w:rsidR="00911EF6" w:rsidRPr="00310308">
        <w:rPr>
          <w:rFonts w:cs="Arial"/>
        </w:rPr>
        <w:t xml:space="preserve"> goals</w:t>
      </w:r>
      <w:r w:rsidR="00A07AD4" w:rsidRPr="00310308">
        <w:rPr>
          <w:rFonts w:cs="Arial"/>
        </w:rPr>
        <w:t>.</w:t>
      </w:r>
    </w:p>
    <w:p w14:paraId="096E122E" w14:textId="77777777" w:rsidR="00702151" w:rsidRDefault="00702151" w:rsidP="007E6521">
      <w:pPr>
        <w:rPr>
          <w:rFonts w:cs="Arial"/>
          <w:b/>
          <w:bCs/>
        </w:rPr>
      </w:pPr>
    </w:p>
    <w:p w14:paraId="4A3E7E1F" w14:textId="708866E1" w:rsidR="00CA6BE4" w:rsidRDefault="00B43DF3" w:rsidP="00B43DF3">
      <w:pPr>
        <w:pStyle w:val="MinorLeft"/>
      </w:pPr>
      <w:r>
        <w:t>The History of Decarbonizing Electricity</w:t>
      </w:r>
    </w:p>
    <w:p w14:paraId="7EEBFD9B" w14:textId="3F381164" w:rsidR="000A7050" w:rsidRDefault="00DE4F98" w:rsidP="007E6521">
      <w:pPr>
        <w:rPr>
          <w:rFonts w:cs="Arial"/>
        </w:rPr>
      </w:pPr>
      <w:r w:rsidRPr="00DE4F98">
        <w:rPr>
          <w:rFonts w:cs="Arial"/>
        </w:rPr>
        <w:t xml:space="preserve">To understand </w:t>
      </w:r>
      <w:r w:rsidR="0005575A">
        <w:rPr>
          <w:rFonts w:cs="Arial"/>
        </w:rPr>
        <w:t>electricit</w:t>
      </w:r>
      <w:r w:rsidR="00AF749A">
        <w:rPr>
          <w:rFonts w:cs="Arial"/>
        </w:rPr>
        <w:t xml:space="preserve">y-related </w:t>
      </w:r>
      <w:r w:rsidR="00C90939">
        <w:rPr>
          <w:rFonts w:cs="Arial"/>
        </w:rPr>
        <w:t>carbon-emissions</w:t>
      </w:r>
      <w:r w:rsidR="00AF749A">
        <w:rPr>
          <w:rFonts w:cs="Arial"/>
        </w:rPr>
        <w:t xml:space="preserve"> reductions</w:t>
      </w:r>
      <w:r w:rsidR="00BD68D4">
        <w:rPr>
          <w:rFonts w:cs="Arial"/>
        </w:rPr>
        <w:t xml:space="preserve"> in the </w:t>
      </w:r>
      <w:r w:rsidR="002807D1">
        <w:rPr>
          <w:rFonts w:cs="Arial"/>
        </w:rPr>
        <w:t>United States</w:t>
      </w:r>
      <w:r w:rsidR="00AF749A">
        <w:rPr>
          <w:rFonts w:cs="Arial"/>
        </w:rPr>
        <w:t xml:space="preserve">, ScottMadden first reviewed </w:t>
      </w:r>
      <w:r w:rsidR="00E17A8C">
        <w:rPr>
          <w:rFonts w:cs="Arial"/>
        </w:rPr>
        <w:t>emissions by sector.</w:t>
      </w:r>
      <w:r w:rsidR="00181F3F">
        <w:rPr>
          <w:rFonts w:cs="Arial"/>
        </w:rPr>
        <w:t xml:space="preserve"> </w:t>
      </w:r>
      <w:r w:rsidR="00520C0D">
        <w:rPr>
          <w:rFonts w:cs="Arial"/>
        </w:rPr>
        <w:t xml:space="preserve">Historically, the electric sector was the largest source of </w:t>
      </w:r>
      <w:r w:rsidR="00AF1C6B">
        <w:rPr>
          <w:rFonts w:cs="Arial"/>
        </w:rPr>
        <w:t>c</w:t>
      </w:r>
      <w:r w:rsidR="00520C0D">
        <w:rPr>
          <w:rFonts w:cs="Arial"/>
        </w:rPr>
        <w:t>arbon emissions</w:t>
      </w:r>
      <w:r w:rsidR="00995528">
        <w:rPr>
          <w:rFonts w:cs="Arial"/>
        </w:rPr>
        <w:t>. However, e</w:t>
      </w:r>
      <w:r w:rsidR="00AA4E5E">
        <w:rPr>
          <w:rFonts w:cs="Arial"/>
        </w:rPr>
        <w:t xml:space="preserve">lectric sector </w:t>
      </w:r>
      <w:r w:rsidR="00B701C5">
        <w:rPr>
          <w:rFonts w:cs="Arial"/>
        </w:rPr>
        <w:t xml:space="preserve">emissions peaked in 2007 and </w:t>
      </w:r>
      <w:r w:rsidR="00AA4E5E">
        <w:rPr>
          <w:rFonts w:cs="Arial"/>
        </w:rPr>
        <w:t xml:space="preserve">have </w:t>
      </w:r>
      <w:r w:rsidR="007F486C">
        <w:rPr>
          <w:rFonts w:cs="Arial"/>
        </w:rPr>
        <w:t xml:space="preserve">since </w:t>
      </w:r>
      <w:r w:rsidR="00AA4E5E">
        <w:rPr>
          <w:rFonts w:cs="Arial"/>
        </w:rPr>
        <w:t xml:space="preserve">been </w:t>
      </w:r>
      <w:r w:rsidR="00712BA9">
        <w:rPr>
          <w:rFonts w:cs="Arial"/>
        </w:rPr>
        <w:t>trending downward</w:t>
      </w:r>
      <w:r w:rsidR="00AA4E5E">
        <w:rPr>
          <w:rFonts w:cs="Arial"/>
        </w:rPr>
        <w:t>.</w:t>
      </w:r>
      <w:r w:rsidR="00181F3F">
        <w:rPr>
          <w:rFonts w:cs="Arial"/>
        </w:rPr>
        <w:t xml:space="preserve"> </w:t>
      </w:r>
      <w:r w:rsidR="001E2128">
        <w:rPr>
          <w:rFonts w:cs="Arial"/>
        </w:rPr>
        <w:t xml:space="preserve">In fact, electric </w:t>
      </w:r>
      <w:r w:rsidR="00725870">
        <w:rPr>
          <w:rFonts w:cs="Arial"/>
        </w:rPr>
        <w:t xml:space="preserve">sector carbon emissions are </w:t>
      </w:r>
      <w:r w:rsidR="007816E3">
        <w:rPr>
          <w:rFonts w:cs="Arial"/>
        </w:rPr>
        <w:t xml:space="preserve">now </w:t>
      </w:r>
      <w:r w:rsidR="00F13968">
        <w:rPr>
          <w:rFonts w:cs="Arial"/>
        </w:rPr>
        <w:t xml:space="preserve">on par </w:t>
      </w:r>
      <w:r w:rsidR="00E368D8">
        <w:rPr>
          <w:rFonts w:cs="Arial"/>
        </w:rPr>
        <w:t xml:space="preserve">with emissions last seen in </w:t>
      </w:r>
      <w:r w:rsidR="00D206AA">
        <w:rPr>
          <w:rFonts w:cs="Arial"/>
        </w:rPr>
        <w:t>1979</w:t>
      </w:r>
      <w:r w:rsidR="00646C05">
        <w:rPr>
          <w:rFonts w:cs="Arial"/>
        </w:rPr>
        <w:t xml:space="preserve"> (see Figure 1).</w:t>
      </w:r>
      <w:r w:rsidR="00181F3F">
        <w:rPr>
          <w:rFonts w:cs="Arial"/>
        </w:rPr>
        <w:t xml:space="preserve"> </w:t>
      </w:r>
      <w:r w:rsidR="00646C05">
        <w:rPr>
          <w:rFonts w:cs="Arial"/>
        </w:rPr>
        <w:t xml:space="preserve">The </w:t>
      </w:r>
      <w:r w:rsidR="002E7E3C">
        <w:rPr>
          <w:rFonts w:cs="Arial"/>
        </w:rPr>
        <w:t>transportation</w:t>
      </w:r>
      <w:r w:rsidR="00646C05">
        <w:rPr>
          <w:rFonts w:cs="Arial"/>
        </w:rPr>
        <w:t xml:space="preserve"> sector is also noteworthy</w:t>
      </w:r>
      <w:r w:rsidR="002E7E3C">
        <w:rPr>
          <w:rFonts w:cs="Arial"/>
        </w:rPr>
        <w:t>.</w:t>
      </w:r>
      <w:r w:rsidR="00181F3F">
        <w:rPr>
          <w:rFonts w:cs="Arial"/>
        </w:rPr>
        <w:t xml:space="preserve"> </w:t>
      </w:r>
      <w:r w:rsidR="002E7E3C">
        <w:rPr>
          <w:rFonts w:cs="Arial"/>
        </w:rPr>
        <w:t xml:space="preserve">After </w:t>
      </w:r>
      <w:r w:rsidR="00646C05">
        <w:rPr>
          <w:rFonts w:cs="Arial"/>
        </w:rPr>
        <w:t xml:space="preserve">remaining relatively stable over the last decade, </w:t>
      </w:r>
      <w:r w:rsidR="006A7374">
        <w:rPr>
          <w:rFonts w:cs="Arial"/>
        </w:rPr>
        <w:t xml:space="preserve">transportation </w:t>
      </w:r>
      <w:r w:rsidR="00646C05">
        <w:rPr>
          <w:rFonts w:cs="Arial"/>
        </w:rPr>
        <w:t xml:space="preserve">became the </w:t>
      </w:r>
      <w:r w:rsidR="006A7374">
        <w:rPr>
          <w:rFonts w:cs="Arial"/>
        </w:rPr>
        <w:t xml:space="preserve">largest source of </w:t>
      </w:r>
      <w:r w:rsidR="00646C05">
        <w:rPr>
          <w:rFonts w:cs="Arial"/>
        </w:rPr>
        <w:t xml:space="preserve">energy-related carbon </w:t>
      </w:r>
      <w:r w:rsidR="006A7374">
        <w:rPr>
          <w:rFonts w:cs="Arial"/>
        </w:rPr>
        <w:t xml:space="preserve">emissions </w:t>
      </w:r>
      <w:r w:rsidR="00646C05">
        <w:rPr>
          <w:rFonts w:cs="Arial"/>
        </w:rPr>
        <w:t xml:space="preserve">in </w:t>
      </w:r>
      <w:r w:rsidR="006A7374">
        <w:rPr>
          <w:rFonts w:cs="Arial"/>
        </w:rPr>
        <w:t>2016</w:t>
      </w:r>
      <w:r w:rsidR="003E68C9">
        <w:rPr>
          <w:rFonts w:cs="Arial"/>
        </w:rPr>
        <w:t>.</w:t>
      </w:r>
      <w:r w:rsidR="00181F3F">
        <w:rPr>
          <w:rFonts w:cs="Arial"/>
        </w:rPr>
        <w:t xml:space="preserve"> </w:t>
      </w:r>
    </w:p>
    <w:p w14:paraId="113A5CCA" w14:textId="77777777" w:rsidR="000A7050" w:rsidRDefault="000A7050" w:rsidP="007E6521">
      <w:pPr>
        <w:rPr>
          <w:rFonts w:cs="Arial"/>
        </w:rPr>
      </w:pPr>
    </w:p>
    <w:p w14:paraId="34BAC74D" w14:textId="77777777" w:rsidR="00DE4F98" w:rsidRDefault="00DE4F98" w:rsidP="007E6521">
      <w:pPr>
        <w:jc w:val="center"/>
        <w:rPr>
          <w:rFonts w:cs="Arial"/>
          <w:b/>
          <w:bCs/>
        </w:rPr>
      </w:pPr>
    </w:p>
    <w:p w14:paraId="7C7C9D20" w14:textId="6CEEF9A9" w:rsidR="00DE4F98" w:rsidRDefault="00DE4F98" w:rsidP="00A9290A">
      <w:pPr>
        <w:keepNext/>
        <w:jc w:val="center"/>
        <w:rPr>
          <w:rFonts w:cs="Arial"/>
        </w:rPr>
      </w:pPr>
      <w:r w:rsidRPr="0078012E">
        <w:rPr>
          <w:rFonts w:cs="Arial"/>
          <w:b/>
          <w:bCs/>
        </w:rPr>
        <w:lastRenderedPageBreak/>
        <w:t>Figure 1: U</w:t>
      </w:r>
      <w:r w:rsidR="00D25366">
        <w:rPr>
          <w:rFonts w:cs="Arial"/>
          <w:b/>
          <w:bCs/>
        </w:rPr>
        <w:t>.</w:t>
      </w:r>
      <w:r w:rsidRPr="0078012E">
        <w:rPr>
          <w:rFonts w:cs="Arial"/>
          <w:b/>
          <w:bCs/>
        </w:rPr>
        <w:t>S</w:t>
      </w:r>
      <w:r w:rsidR="00D25366">
        <w:rPr>
          <w:rFonts w:cs="Arial"/>
          <w:b/>
          <w:bCs/>
        </w:rPr>
        <w:t>.</w:t>
      </w:r>
      <w:r w:rsidRPr="0078012E">
        <w:rPr>
          <w:rFonts w:cs="Arial"/>
          <w:b/>
          <w:bCs/>
        </w:rPr>
        <w:t xml:space="preserve"> Carbon Emissions</w:t>
      </w:r>
      <w:r>
        <w:rPr>
          <w:rFonts w:cs="Arial"/>
          <w:b/>
          <w:bCs/>
        </w:rPr>
        <w:t xml:space="preserve"> from Energy Consumption</w:t>
      </w:r>
      <w:r w:rsidRPr="0078012E">
        <w:rPr>
          <w:rFonts w:cs="Arial"/>
          <w:b/>
          <w:bCs/>
        </w:rPr>
        <w:t xml:space="preserve"> </w:t>
      </w:r>
      <w:r>
        <w:rPr>
          <w:rFonts w:cs="Arial"/>
          <w:b/>
          <w:bCs/>
        </w:rPr>
        <w:t>b</w:t>
      </w:r>
      <w:r w:rsidRPr="0078012E">
        <w:rPr>
          <w:rFonts w:cs="Arial"/>
          <w:b/>
          <w:bCs/>
        </w:rPr>
        <w:t>y Sector</w:t>
      </w:r>
      <w:r w:rsidR="00870C10">
        <w:rPr>
          <w:rFonts w:cs="Arial"/>
          <w:b/>
          <w:bCs/>
        </w:rPr>
        <w:t xml:space="preserve"> (in MMT CO</w:t>
      </w:r>
      <w:r w:rsidR="00870C10" w:rsidRPr="00357C94">
        <w:rPr>
          <w:rFonts w:cs="Arial"/>
          <w:b/>
          <w:bCs/>
          <w:vertAlign w:val="subscript"/>
        </w:rPr>
        <w:t>2</w:t>
      </w:r>
      <w:r w:rsidR="00870C10">
        <w:rPr>
          <w:rFonts w:cs="Arial"/>
          <w:b/>
          <w:bCs/>
        </w:rPr>
        <w:t>)</w:t>
      </w:r>
      <w:r>
        <w:rPr>
          <w:rFonts w:cs="Arial"/>
          <w:b/>
          <w:bCs/>
        </w:rPr>
        <w:t>, 1973</w:t>
      </w:r>
      <w:r w:rsidR="00D25366">
        <w:rPr>
          <w:rFonts w:cs="Arial"/>
          <w:b/>
          <w:bCs/>
        </w:rPr>
        <w:t>–</w:t>
      </w:r>
      <w:r>
        <w:rPr>
          <w:rFonts w:cs="Arial"/>
          <w:b/>
          <w:bCs/>
        </w:rPr>
        <w:t>20</w:t>
      </w:r>
      <w:r w:rsidR="008134AC">
        <w:rPr>
          <w:rFonts w:cs="Arial"/>
          <w:b/>
          <w:bCs/>
        </w:rPr>
        <w:t>20</w:t>
      </w:r>
      <w:r>
        <w:rPr>
          <w:rStyle w:val="FootnoteReference"/>
          <w:rFonts w:cs="Arial"/>
        </w:rPr>
        <w:footnoteReference w:id="3"/>
      </w:r>
    </w:p>
    <w:p w14:paraId="53A4D1C1" w14:textId="77777777" w:rsidR="00CA6BE4" w:rsidRDefault="00CA6BE4" w:rsidP="00A9290A">
      <w:pPr>
        <w:keepNext/>
        <w:jc w:val="left"/>
      </w:pPr>
    </w:p>
    <w:p w14:paraId="750FC023" w14:textId="7C26A6F9" w:rsidR="00CA6BE4" w:rsidRDefault="00905715" w:rsidP="00A9290A">
      <w:pPr>
        <w:keepNext/>
        <w:jc w:val="center"/>
      </w:pPr>
      <w:r>
        <w:rPr>
          <w:noProof/>
        </w:rPr>
        <w:drawing>
          <wp:inline distT="0" distB="0" distL="0" distR="0" wp14:anchorId="1235DDD8" wp14:editId="12BC28DC">
            <wp:extent cx="6566846" cy="3587262"/>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14"/>
                    <a:stretch>
                      <a:fillRect/>
                    </a:stretch>
                  </pic:blipFill>
                  <pic:spPr>
                    <a:xfrm>
                      <a:off x="0" y="0"/>
                      <a:ext cx="6590947" cy="3600428"/>
                    </a:xfrm>
                    <a:prstGeom prst="rect">
                      <a:avLst/>
                    </a:prstGeom>
                  </pic:spPr>
                </pic:pic>
              </a:graphicData>
            </a:graphic>
          </wp:inline>
        </w:drawing>
      </w:r>
    </w:p>
    <w:p w14:paraId="784AF58C" w14:textId="77777777" w:rsidR="007E6521" w:rsidRDefault="007E6521" w:rsidP="003A4C29">
      <w:pPr>
        <w:rPr>
          <w:rFonts w:cs="Arial"/>
        </w:rPr>
      </w:pPr>
    </w:p>
    <w:p w14:paraId="6EBAFF5B" w14:textId="3912BABB" w:rsidR="003A4C29" w:rsidRDefault="003A4C29" w:rsidP="003A4C29">
      <w:pPr>
        <w:rPr>
          <w:rFonts w:cs="Arial"/>
        </w:rPr>
      </w:pPr>
      <w:r>
        <w:rPr>
          <w:rFonts w:cs="Arial"/>
        </w:rPr>
        <w:t xml:space="preserve">Next, we </w:t>
      </w:r>
      <w:r w:rsidR="001C6B5B">
        <w:rPr>
          <w:rFonts w:cs="Arial"/>
        </w:rPr>
        <w:t xml:space="preserve">wanted </w:t>
      </w:r>
      <w:r w:rsidR="0021263E">
        <w:rPr>
          <w:rFonts w:cs="Arial"/>
        </w:rPr>
        <w:t xml:space="preserve">to </w:t>
      </w:r>
      <w:r w:rsidR="002345F6">
        <w:rPr>
          <w:rFonts w:cs="Arial"/>
        </w:rPr>
        <w:t xml:space="preserve">analyze </w:t>
      </w:r>
      <w:r w:rsidR="001C6B5B">
        <w:rPr>
          <w:rFonts w:cs="Arial"/>
        </w:rPr>
        <w:t xml:space="preserve">the key </w:t>
      </w:r>
      <w:r>
        <w:rPr>
          <w:rFonts w:cs="Arial"/>
        </w:rPr>
        <w:t xml:space="preserve">drivers of </w:t>
      </w:r>
      <w:r w:rsidR="0076725C">
        <w:rPr>
          <w:rFonts w:cs="Arial"/>
        </w:rPr>
        <w:t xml:space="preserve">decarbonization occurring in the </w:t>
      </w:r>
      <w:r>
        <w:rPr>
          <w:rFonts w:cs="Arial"/>
        </w:rPr>
        <w:t>electric power sector</w:t>
      </w:r>
      <w:r w:rsidR="00C5629E">
        <w:rPr>
          <w:rFonts w:cs="Arial"/>
        </w:rPr>
        <w:t xml:space="preserve"> from 2005 to </w:t>
      </w:r>
      <w:r w:rsidR="00E17946">
        <w:rPr>
          <w:rFonts w:cs="Arial"/>
        </w:rPr>
        <w:t>2020</w:t>
      </w:r>
      <w:r w:rsidR="0076725C">
        <w:rPr>
          <w:rFonts w:cs="Arial"/>
        </w:rPr>
        <w:t>.</w:t>
      </w:r>
      <w:r w:rsidR="00181F3F">
        <w:rPr>
          <w:rFonts w:cs="Arial"/>
        </w:rPr>
        <w:t xml:space="preserve"> </w:t>
      </w:r>
      <w:r w:rsidR="00765AB9" w:rsidRPr="00765AB9">
        <w:rPr>
          <w:rFonts w:cs="Arial"/>
        </w:rPr>
        <w:t xml:space="preserve">We chose 2005 </w:t>
      </w:r>
      <w:r w:rsidR="00765AB9">
        <w:rPr>
          <w:rFonts w:cs="Arial"/>
        </w:rPr>
        <w:t xml:space="preserve">as the starting year of the analysis </w:t>
      </w:r>
      <w:r w:rsidR="00765AB9" w:rsidRPr="00765AB9">
        <w:rPr>
          <w:rFonts w:cs="Arial"/>
        </w:rPr>
        <w:t>because President Obama, under the Paris Climate Agreement, committed the United States to reduce overall greenhouse gas emissions by 26% to 28% below 2005 levels by 2025.</w:t>
      </w:r>
      <w:r w:rsidR="002149AA">
        <w:rPr>
          <w:rStyle w:val="FootnoteReference"/>
          <w:rFonts w:cs="Arial"/>
        </w:rPr>
        <w:footnoteReference w:id="4"/>
      </w:r>
    </w:p>
    <w:p w14:paraId="16E33DDF" w14:textId="77777777" w:rsidR="003A4C29" w:rsidRDefault="003A4C29" w:rsidP="003A4C29">
      <w:pPr>
        <w:rPr>
          <w:rFonts w:cs="Arial"/>
        </w:rPr>
      </w:pPr>
    </w:p>
    <w:p w14:paraId="1557BA99" w14:textId="65000916" w:rsidR="003A4C29" w:rsidRDefault="003A4C29" w:rsidP="003A4C29">
      <w:pPr>
        <w:rPr>
          <w:rFonts w:cs="Arial"/>
        </w:rPr>
      </w:pPr>
      <w:r>
        <w:rPr>
          <w:rFonts w:cs="Arial"/>
        </w:rPr>
        <w:t xml:space="preserve">ScottMadden leveraged a methodology developed by the </w:t>
      </w:r>
      <w:r w:rsidRPr="00ED184D">
        <w:rPr>
          <w:rFonts w:cs="Arial"/>
        </w:rPr>
        <w:t>Energy Information Administration</w:t>
      </w:r>
      <w:r>
        <w:rPr>
          <w:rFonts w:cs="Arial"/>
        </w:rPr>
        <w:t xml:space="preserve"> (EIA)</w:t>
      </w:r>
      <w:r>
        <w:rPr>
          <w:rStyle w:val="FootnoteReference"/>
          <w:rFonts w:cs="Arial"/>
        </w:rPr>
        <w:footnoteReference w:id="5"/>
      </w:r>
      <w:r>
        <w:rPr>
          <w:rFonts w:cs="Arial"/>
        </w:rPr>
        <w:t xml:space="preserve"> for this analysis</w:t>
      </w:r>
      <w:r w:rsidRPr="00ED184D">
        <w:rPr>
          <w:rFonts w:cs="Arial"/>
        </w:rPr>
        <w:t xml:space="preserve">. </w:t>
      </w:r>
      <w:r>
        <w:rPr>
          <w:rFonts w:cs="Arial"/>
        </w:rPr>
        <w:t xml:space="preserve">Specifically, the methodology </w:t>
      </w:r>
      <w:r w:rsidR="0021263E">
        <w:rPr>
          <w:rFonts w:cs="Arial"/>
        </w:rPr>
        <w:t xml:space="preserve">reviewed </w:t>
      </w:r>
      <w:r w:rsidRPr="00ED184D">
        <w:rPr>
          <w:rFonts w:cs="Arial"/>
        </w:rPr>
        <w:t>emissions reductions</w:t>
      </w:r>
      <w:r>
        <w:rPr>
          <w:rFonts w:cs="Arial"/>
        </w:rPr>
        <w:t xml:space="preserve"> associated with </w:t>
      </w:r>
      <w:r w:rsidR="00DD0CCC">
        <w:rPr>
          <w:rFonts w:cs="Arial"/>
        </w:rPr>
        <w:t xml:space="preserve">1) </w:t>
      </w:r>
      <w:r>
        <w:rPr>
          <w:rFonts w:cs="Arial"/>
        </w:rPr>
        <w:t>switching carbon-intensive fossil fuel generation</w:t>
      </w:r>
      <w:r w:rsidR="00C62265">
        <w:rPr>
          <w:rFonts w:cs="Arial"/>
        </w:rPr>
        <w:t>,</w:t>
      </w:r>
      <w:r>
        <w:rPr>
          <w:rFonts w:cs="Arial"/>
        </w:rPr>
        <w:t xml:space="preserve"> like coal and petroleum</w:t>
      </w:r>
      <w:r w:rsidR="00E96D04">
        <w:rPr>
          <w:rFonts w:cs="Arial"/>
        </w:rPr>
        <w:t>,</w:t>
      </w:r>
      <w:r>
        <w:rPr>
          <w:rFonts w:cs="Arial"/>
        </w:rPr>
        <w:t xml:space="preserve"> to natural gas and </w:t>
      </w:r>
      <w:r w:rsidR="00DD0CCC">
        <w:rPr>
          <w:rFonts w:cs="Arial"/>
        </w:rPr>
        <w:t xml:space="preserve">2) increasing generation from </w:t>
      </w:r>
      <w:r>
        <w:rPr>
          <w:rFonts w:cs="Arial"/>
        </w:rPr>
        <w:t>carbon</w:t>
      </w:r>
      <w:r w:rsidR="00DD0CCC">
        <w:rPr>
          <w:rFonts w:cs="Arial"/>
        </w:rPr>
        <w:t>-free</w:t>
      </w:r>
      <w:r>
        <w:rPr>
          <w:rFonts w:cs="Arial"/>
        </w:rPr>
        <w:t xml:space="preserve"> sources</w:t>
      </w:r>
      <w:r w:rsidR="009432A7">
        <w:rPr>
          <w:rFonts w:cs="Arial"/>
        </w:rPr>
        <w:t xml:space="preserve"> (e.g., solar, wind, and nuclear)</w:t>
      </w:r>
      <w:r w:rsidRPr="00ED184D">
        <w:rPr>
          <w:rFonts w:cs="Arial"/>
        </w:rPr>
        <w:t>.</w:t>
      </w:r>
      <w:r w:rsidR="00181F3F">
        <w:rPr>
          <w:rStyle w:val="FootnoteReference"/>
          <w:rFonts w:cs="Arial"/>
        </w:rPr>
        <w:t xml:space="preserve"> </w:t>
      </w:r>
      <w:r w:rsidR="00B47349">
        <w:rPr>
          <w:rFonts w:cs="Arial"/>
        </w:rPr>
        <w:t>T</w:t>
      </w:r>
      <w:r w:rsidR="009B1404">
        <w:rPr>
          <w:rFonts w:cs="Arial"/>
        </w:rPr>
        <w:t xml:space="preserve">he analysis </w:t>
      </w:r>
      <w:r w:rsidR="007B622F">
        <w:rPr>
          <w:rFonts w:cs="Arial"/>
        </w:rPr>
        <w:t>compares the</w:t>
      </w:r>
      <w:r w:rsidR="009B1404">
        <w:rPr>
          <w:rFonts w:cs="Arial"/>
        </w:rPr>
        <w:t xml:space="preserve"> carbon</w:t>
      </w:r>
      <w:r w:rsidR="00C62265">
        <w:rPr>
          <w:rFonts w:cs="Arial"/>
        </w:rPr>
        <w:t xml:space="preserve"> </w:t>
      </w:r>
      <w:r w:rsidR="009B1404">
        <w:rPr>
          <w:rFonts w:cs="Arial"/>
        </w:rPr>
        <w:t>intensity of the baseline year</w:t>
      </w:r>
      <w:r w:rsidR="00DE2473">
        <w:rPr>
          <w:rFonts w:cs="Arial"/>
        </w:rPr>
        <w:t xml:space="preserve"> against all future years</w:t>
      </w:r>
      <w:r w:rsidR="009B1404">
        <w:rPr>
          <w:rFonts w:cs="Arial"/>
        </w:rPr>
        <w:t xml:space="preserve">, </w:t>
      </w:r>
      <w:r w:rsidR="00287E68">
        <w:rPr>
          <w:rFonts w:cs="Arial"/>
        </w:rPr>
        <w:t xml:space="preserve">and </w:t>
      </w:r>
      <w:r w:rsidR="00FE3B62">
        <w:rPr>
          <w:rFonts w:cs="Arial"/>
        </w:rPr>
        <w:t xml:space="preserve">the impact of </w:t>
      </w:r>
      <w:r w:rsidR="009B1404">
        <w:rPr>
          <w:rFonts w:cs="Arial"/>
        </w:rPr>
        <w:t>variables</w:t>
      </w:r>
      <w:r w:rsidR="00C62265">
        <w:rPr>
          <w:rFonts w:cs="Arial"/>
        </w:rPr>
        <w:t>,</w:t>
      </w:r>
      <w:r w:rsidR="009B1404">
        <w:rPr>
          <w:rFonts w:cs="Arial"/>
        </w:rPr>
        <w:t xml:space="preserve"> like weather and </w:t>
      </w:r>
      <w:r w:rsidR="00CA6C6F">
        <w:rPr>
          <w:rFonts w:cs="Arial"/>
        </w:rPr>
        <w:t xml:space="preserve">electricity </w:t>
      </w:r>
      <w:r w:rsidR="009B1404">
        <w:rPr>
          <w:rFonts w:cs="Arial"/>
        </w:rPr>
        <w:t>demand</w:t>
      </w:r>
      <w:r w:rsidR="00C62265">
        <w:rPr>
          <w:rFonts w:cs="Arial"/>
        </w:rPr>
        <w:t>,</w:t>
      </w:r>
      <w:r w:rsidR="009B1404">
        <w:rPr>
          <w:rFonts w:cs="Arial"/>
        </w:rPr>
        <w:t xml:space="preserve"> </w:t>
      </w:r>
      <w:r w:rsidR="00FE3B62">
        <w:rPr>
          <w:rFonts w:cs="Arial"/>
        </w:rPr>
        <w:t>is incorporated into</w:t>
      </w:r>
      <w:r w:rsidR="003E5D37">
        <w:rPr>
          <w:rFonts w:cs="Arial"/>
        </w:rPr>
        <w:t xml:space="preserve"> each year’s carbon intensity.</w:t>
      </w:r>
      <w:r w:rsidR="00B47349">
        <w:rPr>
          <w:rStyle w:val="FootnoteReference"/>
          <w:rFonts w:cs="Arial"/>
        </w:rPr>
        <w:footnoteReference w:id="6"/>
      </w:r>
      <w:r w:rsidR="009B1404">
        <w:rPr>
          <w:rFonts w:cs="Arial"/>
        </w:rPr>
        <w:t xml:space="preserve"> </w:t>
      </w:r>
    </w:p>
    <w:p w14:paraId="0630164F" w14:textId="77777777" w:rsidR="00112D8D" w:rsidRDefault="00112D8D" w:rsidP="003A4C29">
      <w:pPr>
        <w:rPr>
          <w:rFonts w:cs="Arial"/>
        </w:rPr>
      </w:pPr>
    </w:p>
    <w:p w14:paraId="619E4616" w14:textId="451532B1" w:rsidR="003A4C29" w:rsidRDefault="003A4C29" w:rsidP="003A4C29">
      <w:r>
        <w:rPr>
          <w:rFonts w:cs="Arial"/>
        </w:rPr>
        <w:t xml:space="preserve">The output of this analysis shows the annual </w:t>
      </w:r>
      <w:r w:rsidR="00C90939">
        <w:rPr>
          <w:rFonts w:cs="Arial"/>
        </w:rPr>
        <w:t>carbon-emissions</w:t>
      </w:r>
      <w:r>
        <w:rPr>
          <w:rFonts w:cs="Arial"/>
        </w:rPr>
        <w:t xml:space="preserve"> reductions </w:t>
      </w:r>
      <w:r w:rsidR="00E23D4F">
        <w:rPr>
          <w:rFonts w:cs="Arial"/>
        </w:rPr>
        <w:t>in</w:t>
      </w:r>
      <w:r w:rsidR="00DD0CCC">
        <w:rPr>
          <w:rFonts w:cs="Arial"/>
        </w:rPr>
        <w:t xml:space="preserve"> </w:t>
      </w:r>
      <w:r w:rsidR="00144CCD">
        <w:rPr>
          <w:rFonts w:cs="Arial"/>
        </w:rPr>
        <w:t xml:space="preserve">the </w:t>
      </w:r>
      <w:r w:rsidR="00E23D4F">
        <w:rPr>
          <w:rFonts w:cs="Arial"/>
        </w:rPr>
        <w:t xml:space="preserve">two </w:t>
      </w:r>
      <w:r w:rsidR="00144CCD">
        <w:rPr>
          <w:rFonts w:cs="Arial"/>
        </w:rPr>
        <w:t xml:space="preserve">reduction </w:t>
      </w:r>
      <w:r w:rsidR="00991E60">
        <w:rPr>
          <w:rFonts w:cs="Arial"/>
        </w:rPr>
        <w:t>categories</w:t>
      </w:r>
      <w:r w:rsidR="009E00FF">
        <w:rPr>
          <w:rFonts w:cs="Arial"/>
        </w:rPr>
        <w:t xml:space="preserve"> </w:t>
      </w:r>
      <w:r w:rsidR="009432A7">
        <w:rPr>
          <w:rFonts w:cs="Arial"/>
        </w:rPr>
        <w:t>(see Figure 2)</w:t>
      </w:r>
      <w:r>
        <w:rPr>
          <w:rFonts w:cs="Arial"/>
        </w:rPr>
        <w:t>.</w:t>
      </w:r>
      <w:r w:rsidR="006877FC">
        <w:rPr>
          <w:rStyle w:val="FootnoteReference"/>
          <w:rFonts w:cs="Arial"/>
        </w:rPr>
        <w:footnoteReference w:id="7"/>
      </w:r>
      <w:r w:rsidR="00181F3F">
        <w:rPr>
          <w:rFonts w:cs="Arial"/>
        </w:rPr>
        <w:t xml:space="preserve"> </w:t>
      </w:r>
      <w:r w:rsidR="00615A6F">
        <w:rPr>
          <w:rFonts w:cs="Arial"/>
        </w:rPr>
        <w:t xml:space="preserve">Carbon reductions from fossil fuel switching outpaced </w:t>
      </w:r>
      <w:r w:rsidR="008966EF">
        <w:rPr>
          <w:rFonts w:cs="Arial"/>
        </w:rPr>
        <w:t xml:space="preserve">carbon reductions from </w:t>
      </w:r>
      <w:r w:rsidR="00DD0CCC">
        <w:rPr>
          <w:rFonts w:cs="Arial"/>
        </w:rPr>
        <w:t>carbon-free</w:t>
      </w:r>
      <w:r w:rsidR="008966EF">
        <w:rPr>
          <w:rFonts w:cs="Arial"/>
        </w:rPr>
        <w:t xml:space="preserve"> generation</w:t>
      </w:r>
      <w:r w:rsidR="00DD0CCC">
        <w:rPr>
          <w:rFonts w:cs="Arial"/>
        </w:rPr>
        <w:t xml:space="preserve"> increases</w:t>
      </w:r>
      <w:r w:rsidR="008966EF">
        <w:rPr>
          <w:rFonts w:cs="Arial"/>
        </w:rPr>
        <w:t xml:space="preserve"> in each year of the analysis.</w:t>
      </w:r>
      <w:r w:rsidR="00181F3F">
        <w:rPr>
          <w:rFonts w:cs="Arial"/>
        </w:rPr>
        <w:t xml:space="preserve"> </w:t>
      </w:r>
      <w:r w:rsidR="008966EF">
        <w:t>Over the full study period</w:t>
      </w:r>
      <w:r w:rsidR="00E0046C" w:rsidRPr="00146AAC">
        <w:t xml:space="preserve">, fossil fuel switching </w:t>
      </w:r>
      <w:r w:rsidR="000C39D5">
        <w:t xml:space="preserve">reduced carbon emissions by </w:t>
      </w:r>
      <w:r w:rsidR="00E0046C" w:rsidRPr="00146AAC">
        <w:t>3,</w:t>
      </w:r>
      <w:r w:rsidR="00720A1E">
        <w:t>915</w:t>
      </w:r>
      <w:r w:rsidR="00E0046C" w:rsidRPr="00146AAC">
        <w:t xml:space="preserve"> </w:t>
      </w:r>
      <w:r w:rsidR="000C39D5">
        <w:t>million metric tons</w:t>
      </w:r>
      <w:r w:rsidR="00CB2323">
        <w:t xml:space="preserve"> (MMT)</w:t>
      </w:r>
      <w:r w:rsidR="000C39D5">
        <w:t xml:space="preserve">, which accounted for </w:t>
      </w:r>
      <w:r w:rsidR="00515CE7">
        <w:t>about</w:t>
      </w:r>
      <w:r w:rsidR="007415D9">
        <w:t xml:space="preserve"> 6</w:t>
      </w:r>
      <w:r w:rsidR="00515CE7">
        <w:t>1</w:t>
      </w:r>
      <w:r w:rsidR="008966EF">
        <w:t xml:space="preserve">% </w:t>
      </w:r>
      <w:r w:rsidR="000C39D5">
        <w:t xml:space="preserve">of all </w:t>
      </w:r>
      <w:r w:rsidR="00CB2323">
        <w:t xml:space="preserve">carbon </w:t>
      </w:r>
      <w:r w:rsidR="000C39D5">
        <w:t xml:space="preserve">reductions. </w:t>
      </w:r>
      <w:r w:rsidR="00117F57">
        <w:t xml:space="preserve">Meanwhile, </w:t>
      </w:r>
      <w:r w:rsidR="00DD0CCC">
        <w:t xml:space="preserve">increases in </w:t>
      </w:r>
      <w:r w:rsidR="00117F57">
        <w:t>c</w:t>
      </w:r>
      <w:r w:rsidR="00E0046C" w:rsidRPr="00146AAC">
        <w:t>arbon</w:t>
      </w:r>
      <w:r w:rsidR="00DD0CCC">
        <w:t>-free</w:t>
      </w:r>
      <w:r w:rsidR="00E0046C" w:rsidRPr="00146AAC">
        <w:t xml:space="preserve"> generation drove 2,</w:t>
      </w:r>
      <w:r w:rsidR="00720A1E">
        <w:t>551</w:t>
      </w:r>
      <w:r w:rsidR="00E0046C" w:rsidRPr="00146AAC">
        <w:t xml:space="preserve"> MMT </w:t>
      </w:r>
      <w:r w:rsidR="0021263E">
        <w:t>or</w:t>
      </w:r>
      <w:r w:rsidR="007415D9">
        <w:t xml:space="preserve"> </w:t>
      </w:r>
      <w:r w:rsidR="00054F99">
        <w:t>about</w:t>
      </w:r>
      <w:r w:rsidR="0021263E">
        <w:t xml:space="preserve"> </w:t>
      </w:r>
      <w:r w:rsidR="00515CE7">
        <w:t>39</w:t>
      </w:r>
      <w:r w:rsidR="0021263E">
        <w:t xml:space="preserve">% </w:t>
      </w:r>
      <w:r w:rsidR="00E0046C" w:rsidRPr="00146AAC">
        <w:t>of CO</w:t>
      </w:r>
      <w:r w:rsidR="00E0046C" w:rsidRPr="0078012E">
        <w:rPr>
          <w:vertAlign w:val="subscript"/>
        </w:rPr>
        <w:t>2</w:t>
      </w:r>
      <w:r w:rsidR="00E0046C" w:rsidRPr="00146AAC">
        <w:t xml:space="preserve"> reductions</w:t>
      </w:r>
      <w:r w:rsidR="00117F57">
        <w:t>.</w:t>
      </w:r>
    </w:p>
    <w:p w14:paraId="7D0D0E8E" w14:textId="77777777" w:rsidR="008515B0" w:rsidRDefault="008515B0" w:rsidP="00A9290A">
      <w:pPr>
        <w:keepNext/>
        <w:jc w:val="center"/>
        <w:rPr>
          <w:rFonts w:cs="Arial"/>
          <w:b/>
          <w:bCs/>
        </w:rPr>
      </w:pPr>
    </w:p>
    <w:p w14:paraId="13CAC6E2" w14:textId="5E4B501D" w:rsidR="003A4C29" w:rsidRPr="0078012E" w:rsidRDefault="003A4C29" w:rsidP="00A9290A">
      <w:pPr>
        <w:keepNext/>
        <w:jc w:val="center"/>
        <w:rPr>
          <w:rFonts w:cs="Arial"/>
          <w:b/>
          <w:bCs/>
        </w:rPr>
      </w:pPr>
      <w:r w:rsidRPr="0078012E">
        <w:rPr>
          <w:rFonts w:cs="Arial"/>
          <w:b/>
          <w:bCs/>
        </w:rPr>
        <w:t xml:space="preserve">Figure </w:t>
      </w:r>
      <w:r>
        <w:rPr>
          <w:rFonts w:cs="Arial"/>
          <w:b/>
          <w:bCs/>
        </w:rPr>
        <w:t>2:</w:t>
      </w:r>
      <w:r w:rsidRPr="0078012E">
        <w:rPr>
          <w:rFonts w:cs="Arial"/>
          <w:b/>
          <w:bCs/>
        </w:rPr>
        <w:t xml:space="preserve"> </w:t>
      </w:r>
      <w:r w:rsidR="00191077">
        <w:rPr>
          <w:rFonts w:cs="Arial"/>
          <w:b/>
          <w:bCs/>
        </w:rPr>
        <w:t>Annual</w:t>
      </w:r>
      <w:r w:rsidRPr="0078012E">
        <w:rPr>
          <w:rFonts w:cs="Arial"/>
          <w:b/>
          <w:bCs/>
        </w:rPr>
        <w:t xml:space="preserve"> </w:t>
      </w:r>
      <w:r w:rsidR="00191077">
        <w:rPr>
          <w:rFonts w:cs="Arial"/>
          <w:b/>
          <w:bCs/>
        </w:rPr>
        <w:t>U</w:t>
      </w:r>
      <w:r w:rsidR="002271A0">
        <w:rPr>
          <w:rFonts w:cs="Arial"/>
          <w:b/>
          <w:bCs/>
        </w:rPr>
        <w:t>.</w:t>
      </w:r>
      <w:r w:rsidR="00191077">
        <w:rPr>
          <w:rFonts w:cs="Arial"/>
          <w:b/>
          <w:bCs/>
        </w:rPr>
        <w:t>S</w:t>
      </w:r>
      <w:r w:rsidR="002271A0">
        <w:rPr>
          <w:rFonts w:cs="Arial"/>
          <w:b/>
          <w:bCs/>
        </w:rPr>
        <w:t>.</w:t>
      </w:r>
      <w:r w:rsidR="00191077">
        <w:rPr>
          <w:rFonts w:cs="Arial"/>
          <w:b/>
          <w:bCs/>
        </w:rPr>
        <w:t xml:space="preserve"> Electric Power Sector </w:t>
      </w:r>
      <w:r w:rsidR="002912A0">
        <w:rPr>
          <w:rFonts w:cs="Arial"/>
          <w:b/>
          <w:bCs/>
        </w:rPr>
        <w:t>Carbon</w:t>
      </w:r>
      <w:r w:rsidR="002912A0" w:rsidRPr="0078012E">
        <w:rPr>
          <w:rFonts w:cs="Arial"/>
          <w:b/>
          <w:bCs/>
        </w:rPr>
        <w:t xml:space="preserve"> </w:t>
      </w:r>
      <w:r w:rsidRPr="0078012E">
        <w:rPr>
          <w:rFonts w:cs="Arial"/>
          <w:b/>
          <w:bCs/>
        </w:rPr>
        <w:t>Reductions by Type</w:t>
      </w:r>
      <w:r w:rsidR="003B325C">
        <w:rPr>
          <w:rFonts w:cs="Arial"/>
          <w:b/>
          <w:bCs/>
        </w:rPr>
        <w:t xml:space="preserve"> (in MMT</w:t>
      </w:r>
      <w:r w:rsidR="0006513A">
        <w:rPr>
          <w:rFonts w:cs="Arial"/>
          <w:b/>
          <w:bCs/>
        </w:rPr>
        <w:t xml:space="preserve"> CO</w:t>
      </w:r>
      <w:r w:rsidR="0006513A" w:rsidRPr="00357C94">
        <w:rPr>
          <w:rFonts w:cs="Arial"/>
          <w:b/>
          <w:bCs/>
          <w:vertAlign w:val="subscript"/>
        </w:rPr>
        <w:t>2</w:t>
      </w:r>
      <w:r w:rsidR="003B325C">
        <w:rPr>
          <w:rFonts w:cs="Arial"/>
          <w:b/>
          <w:bCs/>
        </w:rPr>
        <w:t>)</w:t>
      </w:r>
      <w:r>
        <w:rPr>
          <w:rFonts w:cs="Arial"/>
          <w:b/>
          <w:bCs/>
        </w:rPr>
        <w:t xml:space="preserve">, </w:t>
      </w:r>
      <w:r w:rsidR="00B24A87">
        <w:rPr>
          <w:rFonts w:cs="Arial"/>
          <w:b/>
          <w:bCs/>
        </w:rPr>
        <w:t>2005</w:t>
      </w:r>
      <w:r w:rsidR="00DB17FA">
        <w:rPr>
          <w:rFonts w:cs="Arial"/>
          <w:b/>
          <w:bCs/>
        </w:rPr>
        <w:t xml:space="preserve"> </w:t>
      </w:r>
      <w:r w:rsidR="002271A0">
        <w:rPr>
          <w:rFonts w:cs="Arial"/>
          <w:b/>
          <w:bCs/>
        </w:rPr>
        <w:t>–</w:t>
      </w:r>
      <w:r w:rsidR="00DB17FA">
        <w:rPr>
          <w:rFonts w:cs="Arial"/>
          <w:b/>
          <w:bCs/>
        </w:rPr>
        <w:t xml:space="preserve"> </w:t>
      </w:r>
      <w:r>
        <w:rPr>
          <w:rFonts w:cs="Arial"/>
          <w:b/>
          <w:bCs/>
        </w:rPr>
        <w:t>20</w:t>
      </w:r>
      <w:r w:rsidR="00E17946">
        <w:rPr>
          <w:rFonts w:cs="Arial"/>
          <w:b/>
          <w:bCs/>
        </w:rPr>
        <w:t>2</w:t>
      </w:r>
      <w:r w:rsidR="00E17946" w:rsidRPr="00357C94">
        <w:rPr>
          <w:rFonts w:cs="Arial"/>
          <w:b/>
          <w:bCs/>
        </w:rPr>
        <w:t>0</w:t>
      </w:r>
      <w:r w:rsidRPr="00357C94">
        <w:rPr>
          <w:rStyle w:val="Style"/>
          <w:sz w:val="22"/>
        </w:rPr>
        <w:footnoteReference w:id="8"/>
      </w:r>
    </w:p>
    <w:p w14:paraId="653C8665" w14:textId="5F2F31A4" w:rsidR="00CA6BE4" w:rsidRDefault="00CA6BE4" w:rsidP="00A9290A">
      <w:pPr>
        <w:keepNext/>
        <w:jc w:val="left"/>
      </w:pPr>
    </w:p>
    <w:p w14:paraId="309048BB" w14:textId="77FB7FAD" w:rsidR="00324E86" w:rsidRDefault="00D77E6E" w:rsidP="00324E86">
      <w:pPr>
        <w:keepNext/>
        <w:jc w:val="center"/>
      </w:pPr>
      <w:r>
        <w:rPr>
          <w:noProof/>
        </w:rPr>
        <w:drawing>
          <wp:inline distT="0" distB="0" distL="0" distR="0" wp14:anchorId="065E02DE" wp14:editId="45BAD2A3">
            <wp:extent cx="6565392" cy="3586468"/>
            <wp:effectExtent l="0" t="0" r="635" b="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15"/>
                    <a:stretch>
                      <a:fillRect/>
                    </a:stretch>
                  </pic:blipFill>
                  <pic:spPr>
                    <a:xfrm>
                      <a:off x="0" y="0"/>
                      <a:ext cx="6565392" cy="3586468"/>
                    </a:xfrm>
                    <a:prstGeom prst="rect">
                      <a:avLst/>
                    </a:prstGeom>
                  </pic:spPr>
                </pic:pic>
              </a:graphicData>
            </a:graphic>
          </wp:inline>
        </w:drawing>
      </w:r>
    </w:p>
    <w:p w14:paraId="21CE8932" w14:textId="0B720A33" w:rsidR="00324E86" w:rsidRDefault="00324E86" w:rsidP="00A9290A">
      <w:pPr>
        <w:keepNext/>
        <w:jc w:val="left"/>
      </w:pPr>
    </w:p>
    <w:p w14:paraId="7FD7C88C" w14:textId="6482EE8A" w:rsidR="00191077" w:rsidRDefault="00CB2323" w:rsidP="00AD6BDA">
      <w:pPr>
        <w:rPr>
          <w:rFonts w:cs="Arial"/>
        </w:rPr>
      </w:pPr>
      <w:r>
        <w:rPr>
          <w:rFonts w:cs="Arial"/>
        </w:rPr>
        <w:t xml:space="preserve">We also examined </w:t>
      </w:r>
      <w:r w:rsidR="00DD0CCC">
        <w:rPr>
          <w:rFonts w:cs="Arial"/>
        </w:rPr>
        <w:t>carbon-free</w:t>
      </w:r>
      <w:r w:rsidR="00191077">
        <w:rPr>
          <w:rFonts w:cs="Arial"/>
        </w:rPr>
        <w:t xml:space="preserve"> </w:t>
      </w:r>
      <w:r w:rsidR="007868A9">
        <w:rPr>
          <w:rFonts w:cs="Arial"/>
        </w:rPr>
        <w:t xml:space="preserve">generation </w:t>
      </w:r>
      <w:r w:rsidR="00191077">
        <w:rPr>
          <w:rFonts w:cs="Arial"/>
        </w:rPr>
        <w:t xml:space="preserve">reductions by technology type. </w:t>
      </w:r>
      <w:r w:rsidR="00722976">
        <w:rPr>
          <w:rFonts w:cs="Arial"/>
        </w:rPr>
        <w:t xml:space="preserve">Increases in wind generation </w:t>
      </w:r>
      <w:r w:rsidR="00DB0580">
        <w:rPr>
          <w:rFonts w:cs="Arial"/>
        </w:rPr>
        <w:t>were responsible for</w:t>
      </w:r>
      <w:r w:rsidR="00377AD7">
        <w:rPr>
          <w:rFonts w:cs="Arial"/>
        </w:rPr>
        <w:t xml:space="preserve"> </w:t>
      </w:r>
      <w:proofErr w:type="gramStart"/>
      <w:r w:rsidR="00377AD7">
        <w:rPr>
          <w:rFonts w:cs="Arial"/>
        </w:rPr>
        <w:t xml:space="preserve">the </w:t>
      </w:r>
      <w:r w:rsidR="00D11AA9">
        <w:rPr>
          <w:rFonts w:cs="Arial"/>
        </w:rPr>
        <w:t>majority of</w:t>
      </w:r>
      <w:proofErr w:type="gramEnd"/>
      <w:r w:rsidR="00D11AA9">
        <w:rPr>
          <w:rFonts w:cs="Arial"/>
        </w:rPr>
        <w:t xml:space="preserve"> thes</w:t>
      </w:r>
      <w:r w:rsidR="00867E96">
        <w:rPr>
          <w:rFonts w:cs="Arial"/>
        </w:rPr>
        <w:t xml:space="preserve">e </w:t>
      </w:r>
      <w:r w:rsidR="00C90939">
        <w:rPr>
          <w:rFonts w:cs="Arial"/>
        </w:rPr>
        <w:t>carbon-emissions</w:t>
      </w:r>
      <w:r w:rsidR="00191077">
        <w:rPr>
          <w:rFonts w:cs="Arial"/>
        </w:rPr>
        <w:t xml:space="preserve"> reductions</w:t>
      </w:r>
      <w:r w:rsidR="00867E96">
        <w:rPr>
          <w:rFonts w:cs="Arial"/>
        </w:rPr>
        <w:t xml:space="preserve"> (see Figure 3).</w:t>
      </w:r>
      <w:r w:rsidR="00181F3F">
        <w:rPr>
          <w:rFonts w:cs="Arial"/>
        </w:rPr>
        <w:t xml:space="preserve"> </w:t>
      </w:r>
      <w:r w:rsidR="00804E18">
        <w:rPr>
          <w:rFonts w:cs="Arial"/>
        </w:rPr>
        <w:t xml:space="preserve">Solar </w:t>
      </w:r>
      <w:r w:rsidR="00DD0CCC">
        <w:rPr>
          <w:rFonts w:cs="Arial"/>
        </w:rPr>
        <w:t xml:space="preserve">generation </w:t>
      </w:r>
      <w:r w:rsidR="00804E18">
        <w:rPr>
          <w:rFonts w:cs="Arial"/>
        </w:rPr>
        <w:t>was the second</w:t>
      </w:r>
      <w:r w:rsidR="004F16D3">
        <w:rPr>
          <w:rFonts w:cs="Arial"/>
        </w:rPr>
        <w:t>-</w:t>
      </w:r>
      <w:r w:rsidR="00804E18">
        <w:rPr>
          <w:rFonts w:cs="Arial"/>
        </w:rPr>
        <w:t>largest source of reductions.</w:t>
      </w:r>
      <w:r w:rsidR="00181F3F">
        <w:rPr>
          <w:rFonts w:cs="Arial"/>
        </w:rPr>
        <w:t xml:space="preserve"> </w:t>
      </w:r>
      <w:r w:rsidR="00F045A9" w:rsidRPr="00F045A9">
        <w:rPr>
          <w:rFonts w:cs="Arial"/>
        </w:rPr>
        <w:t xml:space="preserve">While nuclear and hydro generation provide </w:t>
      </w:r>
      <w:proofErr w:type="gramStart"/>
      <w:r w:rsidR="00F045A9" w:rsidRPr="00F045A9">
        <w:rPr>
          <w:rFonts w:cs="Arial"/>
        </w:rPr>
        <w:t>the majority of</w:t>
      </w:r>
      <w:proofErr w:type="gramEnd"/>
      <w:r w:rsidR="00F045A9" w:rsidRPr="00F045A9">
        <w:rPr>
          <w:rFonts w:cs="Arial"/>
        </w:rPr>
        <w:t xml:space="preserve"> </w:t>
      </w:r>
      <w:r w:rsidR="00DD0CCC">
        <w:rPr>
          <w:rFonts w:cs="Arial"/>
        </w:rPr>
        <w:t>carbon-free</w:t>
      </w:r>
      <w:r w:rsidR="00F045A9" w:rsidRPr="00F045A9">
        <w:rPr>
          <w:rFonts w:cs="Arial"/>
        </w:rPr>
        <w:t xml:space="preserve"> electricity in the United States, they are not prominent in the results because</w:t>
      </w:r>
      <w:r w:rsidR="006504B6">
        <w:rPr>
          <w:rFonts w:cs="Arial"/>
        </w:rPr>
        <w:t xml:space="preserve"> the</w:t>
      </w:r>
      <w:r w:rsidR="00F045A9" w:rsidRPr="00F045A9">
        <w:rPr>
          <w:rFonts w:cs="Arial"/>
        </w:rPr>
        <w:t xml:space="preserve"> output from these resources did not change significantly during the study period.</w:t>
      </w:r>
      <w:r w:rsidR="004A6295">
        <w:rPr>
          <w:rFonts w:cs="Arial"/>
        </w:rPr>
        <w:t xml:space="preserve"> </w:t>
      </w:r>
    </w:p>
    <w:p w14:paraId="0E0614D4" w14:textId="77777777" w:rsidR="003F123D" w:rsidRDefault="003F123D" w:rsidP="00AD6BDA">
      <w:pPr>
        <w:rPr>
          <w:rFonts w:cs="Arial"/>
        </w:rPr>
      </w:pPr>
    </w:p>
    <w:p w14:paraId="65E62F5A" w14:textId="2EC253D6" w:rsidR="00CA6BE4" w:rsidRDefault="00191077" w:rsidP="00A9290A">
      <w:pPr>
        <w:keepNext/>
        <w:jc w:val="center"/>
        <w:rPr>
          <w:rFonts w:cs="Arial"/>
          <w:b/>
          <w:bCs/>
        </w:rPr>
      </w:pPr>
      <w:r w:rsidRPr="0078012E">
        <w:rPr>
          <w:rFonts w:cs="Arial"/>
          <w:b/>
          <w:bCs/>
        </w:rPr>
        <w:t xml:space="preserve">Figure </w:t>
      </w:r>
      <w:r>
        <w:rPr>
          <w:rFonts w:cs="Arial"/>
          <w:b/>
          <w:bCs/>
        </w:rPr>
        <w:t>3:</w:t>
      </w:r>
      <w:r w:rsidRPr="0078012E">
        <w:rPr>
          <w:rFonts w:cs="Arial"/>
          <w:b/>
          <w:bCs/>
        </w:rPr>
        <w:t xml:space="preserve"> </w:t>
      </w:r>
      <w:r w:rsidR="00DD0CCC">
        <w:rPr>
          <w:rFonts w:cs="Arial"/>
          <w:b/>
          <w:bCs/>
        </w:rPr>
        <w:t>Carbon-</w:t>
      </w:r>
      <w:r w:rsidR="00DD1BCC">
        <w:rPr>
          <w:rFonts w:cs="Arial"/>
          <w:b/>
          <w:bCs/>
        </w:rPr>
        <w:t>F</w:t>
      </w:r>
      <w:r w:rsidR="00DD0CCC">
        <w:rPr>
          <w:rFonts w:cs="Arial"/>
          <w:b/>
          <w:bCs/>
        </w:rPr>
        <w:t>ree</w:t>
      </w:r>
      <w:r w:rsidRPr="0078012E">
        <w:rPr>
          <w:rFonts w:cs="Arial"/>
          <w:b/>
          <w:bCs/>
        </w:rPr>
        <w:t xml:space="preserve"> Generation </w:t>
      </w:r>
      <w:r w:rsidR="006F1644">
        <w:rPr>
          <w:rFonts w:cs="Arial"/>
          <w:b/>
          <w:bCs/>
        </w:rPr>
        <w:t>Carbon Reduction by Technology</w:t>
      </w:r>
      <w:r>
        <w:rPr>
          <w:rFonts w:cs="Arial"/>
          <w:b/>
          <w:bCs/>
        </w:rPr>
        <w:t>, 2005</w:t>
      </w:r>
      <w:r w:rsidR="0028092F">
        <w:rPr>
          <w:rFonts w:cs="Arial"/>
          <w:b/>
          <w:bCs/>
        </w:rPr>
        <w:t>–</w:t>
      </w:r>
      <w:r>
        <w:rPr>
          <w:rFonts w:cs="Arial"/>
          <w:b/>
          <w:bCs/>
        </w:rPr>
        <w:t>20</w:t>
      </w:r>
      <w:r w:rsidR="00F064F2">
        <w:rPr>
          <w:rFonts w:cs="Arial"/>
          <w:b/>
          <w:bCs/>
        </w:rPr>
        <w:t>20</w:t>
      </w:r>
    </w:p>
    <w:p w14:paraId="2781C86D" w14:textId="77777777" w:rsidR="0028092F" w:rsidRDefault="0028092F" w:rsidP="00A9290A">
      <w:pPr>
        <w:keepNext/>
        <w:jc w:val="center"/>
        <w:rPr>
          <w:rFonts w:cs="Arial"/>
          <w:b/>
          <w:bCs/>
        </w:rPr>
      </w:pPr>
    </w:p>
    <w:p w14:paraId="62EF7B64" w14:textId="07908827" w:rsidR="00191077" w:rsidRPr="00F16446" w:rsidRDefault="00917A23" w:rsidP="00F16446">
      <w:pPr>
        <w:keepNext/>
        <w:jc w:val="center"/>
        <w:rPr>
          <w:rFonts w:cs="Arial"/>
          <w:b/>
          <w:bCs/>
        </w:rPr>
      </w:pPr>
      <w:r>
        <w:rPr>
          <w:rFonts w:cs="Arial"/>
          <w:b/>
          <w:bCs/>
          <w:noProof/>
        </w:rPr>
        <w:drawing>
          <wp:inline distT="0" distB="0" distL="0" distR="0" wp14:anchorId="4EC3F178" wp14:editId="2BD658CA">
            <wp:extent cx="6565392" cy="3586468"/>
            <wp:effectExtent l="0" t="0" r="635"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6"/>
                    <a:stretch>
                      <a:fillRect/>
                    </a:stretch>
                  </pic:blipFill>
                  <pic:spPr>
                    <a:xfrm>
                      <a:off x="0" y="0"/>
                      <a:ext cx="6565392" cy="3586468"/>
                    </a:xfrm>
                    <a:prstGeom prst="rect">
                      <a:avLst/>
                    </a:prstGeom>
                  </pic:spPr>
                </pic:pic>
              </a:graphicData>
            </a:graphic>
          </wp:inline>
        </w:drawing>
      </w:r>
    </w:p>
    <w:p w14:paraId="3DADAEA5" w14:textId="77777777" w:rsidR="00F16446" w:rsidRDefault="00F16446" w:rsidP="00B43DF3"/>
    <w:p w14:paraId="05D3FDF0" w14:textId="60FD75FF" w:rsidR="0012675E" w:rsidRDefault="006504B6" w:rsidP="00B43DF3">
      <w:r>
        <w:t>We also</w:t>
      </w:r>
      <w:r w:rsidR="00EC1BE5">
        <w:t xml:space="preserve"> examined historical </w:t>
      </w:r>
      <w:r w:rsidR="00DD0CCC">
        <w:t xml:space="preserve">state-level </w:t>
      </w:r>
      <w:r w:rsidR="00C90939">
        <w:t>carbon-emission</w:t>
      </w:r>
      <w:r w:rsidR="00EC1BE5">
        <w:t xml:space="preserve">s </w:t>
      </w:r>
      <w:r w:rsidR="00DD0CCC">
        <w:t>reductions</w:t>
      </w:r>
      <w:r w:rsidR="00AC7FDA">
        <w:t xml:space="preserve"> (see </w:t>
      </w:r>
      <w:r w:rsidR="00CE6D5E">
        <w:t>Figure</w:t>
      </w:r>
      <w:r w:rsidR="008E0E6D">
        <w:t>s</w:t>
      </w:r>
      <w:r w:rsidR="00CE6D5E">
        <w:t xml:space="preserve"> 4 and 5</w:t>
      </w:r>
      <w:r w:rsidR="00AC7FDA">
        <w:t>)</w:t>
      </w:r>
      <w:r w:rsidR="00CE6D5E">
        <w:t>.</w:t>
      </w:r>
      <w:r w:rsidR="00181F3F">
        <w:t xml:space="preserve"> </w:t>
      </w:r>
      <w:r w:rsidR="00DA281F">
        <w:t>Several noteworthy findings emerge</w:t>
      </w:r>
      <w:r w:rsidR="000F1809">
        <w:t>d</w:t>
      </w:r>
      <w:r w:rsidR="00DA281F">
        <w:t xml:space="preserve"> from this analysis.</w:t>
      </w:r>
      <w:r w:rsidR="00181F3F">
        <w:t xml:space="preserve"> </w:t>
      </w:r>
      <w:r w:rsidR="00260A17">
        <w:t xml:space="preserve">First, </w:t>
      </w:r>
      <w:r w:rsidR="00260A17" w:rsidRPr="00DA281F">
        <w:t>Texas led the country in</w:t>
      </w:r>
      <w:r w:rsidR="00936C11">
        <w:t xml:space="preserve"> </w:t>
      </w:r>
      <w:r w:rsidR="00C90939">
        <w:t>carbon-emission</w:t>
      </w:r>
      <w:r w:rsidR="005E38F8">
        <w:t>s</w:t>
      </w:r>
      <w:r w:rsidR="00936C11">
        <w:t xml:space="preserve"> </w:t>
      </w:r>
      <w:r w:rsidR="00260A17" w:rsidRPr="00DA281F">
        <w:t>reductions, largely due to the build</w:t>
      </w:r>
      <w:r w:rsidR="000F1809">
        <w:t>-</w:t>
      </w:r>
      <w:r w:rsidR="00260A17" w:rsidRPr="00DA281F">
        <w:t xml:space="preserve">out of its wind fleet. </w:t>
      </w:r>
      <w:r w:rsidR="00936C11">
        <w:t>Second</w:t>
      </w:r>
      <w:r w:rsidR="00DA281F">
        <w:t xml:space="preserve">, </w:t>
      </w:r>
      <w:r w:rsidR="000F1809">
        <w:t>s</w:t>
      </w:r>
      <w:r w:rsidR="00AC7FDA" w:rsidRPr="00DA281F">
        <w:t xml:space="preserve">outheast states </w:t>
      </w:r>
      <w:r w:rsidR="00DA281F">
        <w:t>show</w:t>
      </w:r>
      <w:r w:rsidR="000F1809">
        <w:t>ed</w:t>
      </w:r>
      <w:r w:rsidR="00DA281F">
        <w:t xml:space="preserve"> significant </w:t>
      </w:r>
      <w:r w:rsidR="00AC7FDA" w:rsidRPr="00DA281F">
        <w:t xml:space="preserve">reductions </w:t>
      </w:r>
      <w:r w:rsidR="008E06D1">
        <w:t>from fossil fuel</w:t>
      </w:r>
      <w:r w:rsidR="00AC7FDA" w:rsidRPr="00DA281F">
        <w:t xml:space="preserve"> switching</w:t>
      </w:r>
      <w:r w:rsidR="008E06D1">
        <w:t>.</w:t>
      </w:r>
      <w:r w:rsidR="00181F3F">
        <w:t xml:space="preserve"> </w:t>
      </w:r>
      <w:r w:rsidR="008E06D1">
        <w:t xml:space="preserve">Even more notable is that the reductions were achieved </w:t>
      </w:r>
      <w:r w:rsidR="00F02245">
        <w:t>in a region in the country that</w:t>
      </w:r>
      <w:r w:rsidR="00C32070">
        <w:t xml:space="preserve"> largely lacks renewable portfolio standard</w:t>
      </w:r>
      <w:r w:rsidR="00FB2884">
        <w:t xml:space="preserve"> (RPS) requirements</w:t>
      </w:r>
      <w:r w:rsidR="00C32070">
        <w:t>.</w:t>
      </w:r>
      <w:r w:rsidR="00C32070">
        <w:rPr>
          <w:rStyle w:val="FootnoteReference"/>
          <w:rFonts w:cs="Arial"/>
        </w:rPr>
        <w:footnoteReference w:id="9"/>
      </w:r>
      <w:r w:rsidR="00181F3F">
        <w:t xml:space="preserve"> </w:t>
      </w:r>
    </w:p>
    <w:p w14:paraId="0EDA4075" w14:textId="77777777" w:rsidR="0012675E" w:rsidRDefault="0012675E" w:rsidP="000142A2">
      <w:pPr>
        <w:jc w:val="left"/>
        <w:rPr>
          <w:rFonts w:cs="Arial"/>
        </w:rPr>
      </w:pPr>
    </w:p>
    <w:p w14:paraId="496CCEB6" w14:textId="251FA7F5" w:rsidR="00AC7FDA" w:rsidRDefault="000142A2" w:rsidP="0028092F">
      <w:r>
        <w:t>Overall, the s</w:t>
      </w:r>
      <w:r w:rsidR="00AC7FDA" w:rsidRPr="00DA281F">
        <w:t xml:space="preserve">tates with the most </w:t>
      </w:r>
      <w:r w:rsidR="005E38F8">
        <w:t>reductions</w:t>
      </w:r>
      <w:r w:rsidR="00AC7FDA" w:rsidRPr="00DA281F">
        <w:t xml:space="preserve"> tended to have larger generation footprints and high</w:t>
      </w:r>
      <w:r w:rsidR="00C10C6A">
        <w:t>-</w:t>
      </w:r>
      <w:r w:rsidR="00AC7FDA" w:rsidRPr="00DA281F">
        <w:t>carbon emissions</w:t>
      </w:r>
      <w:r w:rsidR="00AC7FDA" w:rsidRPr="00C32070">
        <w:t xml:space="preserve"> in the baseline year.</w:t>
      </w:r>
      <w:r w:rsidR="00181F3F">
        <w:t xml:space="preserve"> </w:t>
      </w:r>
      <w:r w:rsidR="00AC7FDA">
        <w:t xml:space="preserve">This proved particularly important for a state like California that has a history of climate-focused legislation. By 2005, the state had removed most fossil </w:t>
      </w:r>
      <w:r w:rsidR="004F639E">
        <w:t xml:space="preserve">fuel </w:t>
      </w:r>
      <w:r w:rsidR="00AC7FDA">
        <w:t>generation. Because of this, the state did not have a high</w:t>
      </w:r>
      <w:r w:rsidR="00C10C6A">
        <w:t>-</w:t>
      </w:r>
      <w:r w:rsidR="00AC7FDA">
        <w:t xml:space="preserve">carbon intensity in the baseline year and, as a result, had fewer </w:t>
      </w:r>
      <w:r w:rsidR="00C90939">
        <w:t>carbon-emission</w:t>
      </w:r>
      <w:r w:rsidR="00AC7FDA">
        <w:t>s reductions than many other smaller states.</w:t>
      </w:r>
      <w:r w:rsidR="00F06CC6">
        <w:t xml:space="preserve"> </w:t>
      </w:r>
      <w:r w:rsidR="00495FCF">
        <w:t>See case studies below for further discussion of California.</w:t>
      </w:r>
    </w:p>
    <w:p w14:paraId="74B61EAD" w14:textId="77777777" w:rsidR="00DA281F" w:rsidRDefault="00DA281F" w:rsidP="00AC7FDA">
      <w:pPr>
        <w:rPr>
          <w:rFonts w:cs="Arial"/>
        </w:rPr>
      </w:pPr>
    </w:p>
    <w:p w14:paraId="763004BE" w14:textId="00E66A0B" w:rsidR="00CE6D5E" w:rsidRPr="0078012E" w:rsidRDefault="00CE6D5E" w:rsidP="00A9290A">
      <w:pPr>
        <w:keepNext/>
        <w:jc w:val="center"/>
        <w:rPr>
          <w:rFonts w:cs="Arial"/>
          <w:b/>
          <w:bCs/>
        </w:rPr>
      </w:pPr>
      <w:r w:rsidRPr="0078012E">
        <w:rPr>
          <w:rFonts w:cs="Arial"/>
          <w:b/>
          <w:bCs/>
        </w:rPr>
        <w:t xml:space="preserve">Figure 4: Fossil Fuel Switching </w:t>
      </w:r>
      <w:r w:rsidR="006B77C3">
        <w:rPr>
          <w:rFonts w:cs="Arial"/>
          <w:b/>
          <w:bCs/>
        </w:rPr>
        <w:t>CO</w:t>
      </w:r>
      <w:r w:rsidR="006B77C3" w:rsidRPr="00D17CF5">
        <w:rPr>
          <w:rFonts w:cs="Arial"/>
          <w:b/>
          <w:bCs/>
          <w:vertAlign w:val="subscript"/>
        </w:rPr>
        <w:t>2</w:t>
      </w:r>
      <w:r w:rsidR="006B77C3">
        <w:rPr>
          <w:rFonts w:cs="Arial"/>
          <w:b/>
          <w:bCs/>
        </w:rPr>
        <w:t xml:space="preserve"> Emissions </w:t>
      </w:r>
      <w:r w:rsidRPr="0078012E">
        <w:rPr>
          <w:rFonts w:cs="Arial"/>
          <w:b/>
          <w:bCs/>
        </w:rPr>
        <w:t xml:space="preserve">Reductions </w:t>
      </w:r>
      <w:r w:rsidR="009C6761" w:rsidRPr="0078012E">
        <w:rPr>
          <w:rFonts w:cs="Arial"/>
          <w:b/>
          <w:bCs/>
        </w:rPr>
        <w:t>by State</w:t>
      </w:r>
      <w:r w:rsidR="009C6761">
        <w:rPr>
          <w:rFonts w:cs="Arial"/>
          <w:b/>
          <w:bCs/>
        </w:rPr>
        <w:t xml:space="preserve"> </w:t>
      </w:r>
      <w:r w:rsidR="00FA78EC">
        <w:rPr>
          <w:rFonts w:cs="Arial"/>
          <w:b/>
          <w:bCs/>
        </w:rPr>
        <w:t>(in MMT</w:t>
      </w:r>
      <w:r w:rsidR="003C3FE5">
        <w:rPr>
          <w:rFonts w:cs="Arial"/>
          <w:b/>
          <w:bCs/>
        </w:rPr>
        <w:t xml:space="preserve"> CO</w:t>
      </w:r>
      <w:r w:rsidR="003C3FE5" w:rsidRPr="00357C94">
        <w:rPr>
          <w:rFonts w:cs="Arial"/>
          <w:b/>
          <w:bCs/>
          <w:vertAlign w:val="subscript"/>
        </w:rPr>
        <w:t>2</w:t>
      </w:r>
      <w:r w:rsidR="00FA78EC">
        <w:rPr>
          <w:rFonts w:cs="Arial"/>
          <w:b/>
          <w:bCs/>
        </w:rPr>
        <w:t>)</w:t>
      </w:r>
      <w:r>
        <w:rPr>
          <w:rFonts w:cs="Arial"/>
          <w:b/>
          <w:bCs/>
        </w:rPr>
        <w:t>, 2005</w:t>
      </w:r>
      <w:r w:rsidR="00C10C6A">
        <w:rPr>
          <w:rFonts w:cs="Arial"/>
          <w:b/>
          <w:bCs/>
        </w:rPr>
        <w:t>–</w:t>
      </w:r>
      <w:r w:rsidR="00E17946">
        <w:rPr>
          <w:rFonts w:cs="Arial"/>
          <w:b/>
          <w:bCs/>
        </w:rPr>
        <w:t>2020</w:t>
      </w:r>
      <w:r w:rsidR="00665372" w:rsidRPr="00357C94">
        <w:rPr>
          <w:rStyle w:val="Style"/>
          <w:sz w:val="22"/>
        </w:rPr>
        <w:footnoteReference w:id="10"/>
      </w:r>
      <w:r w:rsidR="00C26DF1" w:rsidRPr="00357C94">
        <w:rPr>
          <w:rFonts w:cs="Arial"/>
          <w:b/>
          <w:bCs/>
          <w:vertAlign w:val="superscript"/>
        </w:rPr>
        <w:t>,</w:t>
      </w:r>
      <w:r w:rsidR="00C26DF1" w:rsidRPr="00357C94">
        <w:rPr>
          <w:rStyle w:val="Style"/>
          <w:sz w:val="22"/>
        </w:rPr>
        <w:footnoteReference w:id="11"/>
      </w:r>
    </w:p>
    <w:p w14:paraId="2B32DD7E" w14:textId="72945811" w:rsidR="00CE6D5E" w:rsidRDefault="00CE6D5E" w:rsidP="00987357">
      <w:pPr>
        <w:keepNext/>
        <w:jc w:val="center"/>
      </w:pPr>
    </w:p>
    <w:p w14:paraId="5967F6F9" w14:textId="3CA79F9E" w:rsidR="00CA6BE4" w:rsidRDefault="00F5539A" w:rsidP="00857C2D">
      <w:pPr>
        <w:jc w:val="center"/>
      </w:pPr>
      <w:r>
        <w:rPr>
          <w:noProof/>
        </w:rPr>
        <w:drawing>
          <wp:inline distT="0" distB="0" distL="0" distR="0" wp14:anchorId="05A34D3D" wp14:editId="7B528D19">
            <wp:extent cx="6565392" cy="3586468"/>
            <wp:effectExtent l="0" t="0" r="635" b="0"/>
            <wp:docPr id="9" name="Picture 9" descr="Ma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with medium confidence"/>
                    <pic:cNvPicPr/>
                  </pic:nvPicPr>
                  <pic:blipFill>
                    <a:blip r:embed="rId17"/>
                    <a:stretch>
                      <a:fillRect/>
                    </a:stretch>
                  </pic:blipFill>
                  <pic:spPr>
                    <a:xfrm>
                      <a:off x="0" y="0"/>
                      <a:ext cx="6565392" cy="3586468"/>
                    </a:xfrm>
                    <a:prstGeom prst="rect">
                      <a:avLst/>
                    </a:prstGeom>
                  </pic:spPr>
                </pic:pic>
              </a:graphicData>
            </a:graphic>
          </wp:inline>
        </w:drawing>
      </w:r>
    </w:p>
    <w:p w14:paraId="047AA440" w14:textId="398CA698" w:rsidR="00CE6D5E" w:rsidRPr="0078012E" w:rsidRDefault="00CE6D5E" w:rsidP="00A9290A">
      <w:pPr>
        <w:keepNext/>
        <w:jc w:val="center"/>
        <w:rPr>
          <w:rFonts w:cs="Arial"/>
          <w:b/>
          <w:bCs/>
        </w:rPr>
      </w:pPr>
      <w:r w:rsidRPr="0078012E">
        <w:rPr>
          <w:rFonts w:cs="Arial"/>
          <w:b/>
          <w:bCs/>
        </w:rPr>
        <w:t xml:space="preserve">Figure </w:t>
      </w:r>
      <w:r>
        <w:rPr>
          <w:rFonts w:cs="Arial"/>
          <w:b/>
          <w:bCs/>
        </w:rPr>
        <w:t>5</w:t>
      </w:r>
      <w:r w:rsidRPr="0078012E">
        <w:rPr>
          <w:rFonts w:cs="Arial"/>
          <w:b/>
          <w:bCs/>
        </w:rPr>
        <w:t xml:space="preserve">: </w:t>
      </w:r>
      <w:r w:rsidR="00DD0CCC">
        <w:rPr>
          <w:rFonts w:cs="Arial"/>
          <w:b/>
          <w:bCs/>
        </w:rPr>
        <w:t>Carbon-</w:t>
      </w:r>
      <w:r w:rsidR="00BC2509">
        <w:rPr>
          <w:rFonts w:cs="Arial"/>
          <w:b/>
          <w:bCs/>
        </w:rPr>
        <w:t>F</w:t>
      </w:r>
      <w:r w:rsidR="00DD0CCC">
        <w:rPr>
          <w:rFonts w:cs="Arial"/>
          <w:b/>
          <w:bCs/>
        </w:rPr>
        <w:t>ree</w:t>
      </w:r>
      <w:r w:rsidRPr="0078012E">
        <w:rPr>
          <w:rFonts w:cs="Arial"/>
          <w:b/>
          <w:bCs/>
        </w:rPr>
        <w:t xml:space="preserve"> Generation Reductions</w:t>
      </w:r>
      <w:r w:rsidR="00FA78EC">
        <w:rPr>
          <w:rFonts w:cs="Arial"/>
          <w:b/>
          <w:bCs/>
        </w:rPr>
        <w:t xml:space="preserve"> </w:t>
      </w:r>
      <w:r w:rsidR="009C6761" w:rsidRPr="0078012E">
        <w:rPr>
          <w:rFonts w:cs="Arial"/>
          <w:b/>
          <w:bCs/>
        </w:rPr>
        <w:t>by State</w:t>
      </w:r>
      <w:r w:rsidR="009C6761">
        <w:rPr>
          <w:rFonts w:cs="Arial"/>
          <w:b/>
          <w:bCs/>
        </w:rPr>
        <w:t xml:space="preserve"> </w:t>
      </w:r>
      <w:r w:rsidR="00FA78EC">
        <w:rPr>
          <w:rFonts w:cs="Arial"/>
          <w:b/>
          <w:bCs/>
        </w:rPr>
        <w:t>(in MMT</w:t>
      </w:r>
      <w:r w:rsidR="003C3FE5">
        <w:rPr>
          <w:rFonts w:cs="Arial"/>
          <w:b/>
          <w:bCs/>
        </w:rPr>
        <w:t xml:space="preserve"> CO</w:t>
      </w:r>
      <w:r w:rsidR="003C3FE5" w:rsidRPr="00357C94">
        <w:rPr>
          <w:rFonts w:cs="Arial"/>
          <w:b/>
          <w:bCs/>
          <w:vertAlign w:val="subscript"/>
        </w:rPr>
        <w:t>2</w:t>
      </w:r>
      <w:r w:rsidR="00FA78EC">
        <w:rPr>
          <w:rFonts w:cs="Arial"/>
          <w:b/>
          <w:bCs/>
        </w:rPr>
        <w:t>)</w:t>
      </w:r>
      <w:r>
        <w:rPr>
          <w:rFonts w:cs="Arial"/>
          <w:b/>
          <w:bCs/>
        </w:rPr>
        <w:t>, 2005</w:t>
      </w:r>
      <w:r w:rsidR="00BC2509">
        <w:rPr>
          <w:rFonts w:cs="Arial"/>
          <w:b/>
          <w:bCs/>
        </w:rPr>
        <w:t>–</w:t>
      </w:r>
      <w:r w:rsidR="00E17946" w:rsidRPr="002E7FC4">
        <w:rPr>
          <w:rFonts w:cs="Arial"/>
          <w:b/>
          <w:bCs/>
        </w:rPr>
        <w:t>2020</w:t>
      </w:r>
      <w:r w:rsidR="00FF1F93" w:rsidRPr="002E7FC4">
        <w:rPr>
          <w:rStyle w:val="Style"/>
          <w:sz w:val="22"/>
        </w:rPr>
        <w:footnoteReference w:id="12"/>
      </w:r>
    </w:p>
    <w:p w14:paraId="6FFBCD0A" w14:textId="77777777" w:rsidR="00CA6BE4" w:rsidRDefault="00CA6BE4" w:rsidP="00A9290A">
      <w:pPr>
        <w:keepNext/>
        <w:jc w:val="left"/>
      </w:pPr>
    </w:p>
    <w:p w14:paraId="29F5F5C4" w14:textId="2F7F5CA8" w:rsidR="00CA6BE4" w:rsidRDefault="00F5539A" w:rsidP="00A9290A">
      <w:pPr>
        <w:keepNext/>
        <w:jc w:val="center"/>
      </w:pPr>
      <w:r>
        <w:rPr>
          <w:noProof/>
        </w:rPr>
        <w:drawing>
          <wp:inline distT="0" distB="0" distL="0" distR="0" wp14:anchorId="44126B61" wp14:editId="4146D67E">
            <wp:extent cx="6565392" cy="3586468"/>
            <wp:effectExtent l="0" t="0" r="635" b="0"/>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pic:nvPicPr>
                  <pic:blipFill>
                    <a:blip r:embed="rId18"/>
                    <a:stretch>
                      <a:fillRect/>
                    </a:stretch>
                  </pic:blipFill>
                  <pic:spPr>
                    <a:xfrm>
                      <a:off x="0" y="0"/>
                      <a:ext cx="6565392" cy="3586468"/>
                    </a:xfrm>
                    <a:prstGeom prst="rect">
                      <a:avLst/>
                    </a:prstGeom>
                  </pic:spPr>
                </pic:pic>
              </a:graphicData>
            </a:graphic>
          </wp:inline>
        </w:drawing>
      </w:r>
    </w:p>
    <w:p w14:paraId="5BE220DD" w14:textId="77777777" w:rsidR="00CA6BE4" w:rsidRDefault="00CA6BE4" w:rsidP="00CA6BE4">
      <w:pPr>
        <w:jc w:val="left"/>
      </w:pPr>
    </w:p>
    <w:p w14:paraId="4747D462" w14:textId="480A1FBB" w:rsidR="006A097F" w:rsidRDefault="00B43DF3" w:rsidP="00B43DF3">
      <w:pPr>
        <w:pStyle w:val="MinorLeft"/>
      </w:pPr>
      <w:r>
        <w:t xml:space="preserve">Case Studies: Three Paths to Decarbonization </w:t>
      </w:r>
    </w:p>
    <w:p w14:paraId="36F9073B" w14:textId="68670C7F" w:rsidR="006A097F" w:rsidRDefault="007D1466" w:rsidP="006A097F">
      <w:pPr>
        <w:rPr>
          <w:rFonts w:cs="Arial"/>
        </w:rPr>
      </w:pPr>
      <w:r>
        <w:rPr>
          <w:rFonts w:cs="Arial"/>
        </w:rPr>
        <w:t>A closer examination of individual states reveal</w:t>
      </w:r>
      <w:r w:rsidR="00703C82">
        <w:rPr>
          <w:rFonts w:cs="Arial"/>
        </w:rPr>
        <w:t>s</w:t>
      </w:r>
      <w:r>
        <w:rPr>
          <w:rFonts w:cs="Arial"/>
        </w:rPr>
        <w:t xml:space="preserve"> the different paths </w:t>
      </w:r>
      <w:r w:rsidR="00DD0CCC">
        <w:rPr>
          <w:rFonts w:cs="Arial"/>
        </w:rPr>
        <w:t>that states</w:t>
      </w:r>
      <w:r>
        <w:rPr>
          <w:rFonts w:cs="Arial"/>
        </w:rPr>
        <w:t xml:space="preserve"> followed to </w:t>
      </w:r>
      <w:r w:rsidR="00C6169A">
        <w:rPr>
          <w:rFonts w:cs="Arial"/>
        </w:rPr>
        <w:t xml:space="preserve">reduce </w:t>
      </w:r>
      <w:r>
        <w:rPr>
          <w:rFonts w:cs="Arial"/>
        </w:rPr>
        <w:t xml:space="preserve">carbon </w:t>
      </w:r>
      <w:r w:rsidR="00A55554">
        <w:rPr>
          <w:rFonts w:cs="Arial"/>
        </w:rPr>
        <w:t>emissions</w:t>
      </w:r>
      <w:r>
        <w:rPr>
          <w:rFonts w:cs="Arial"/>
        </w:rPr>
        <w:t>.</w:t>
      </w:r>
      <w:r w:rsidR="00995492">
        <w:rPr>
          <w:rFonts w:cs="Arial"/>
        </w:rPr>
        <w:t xml:space="preserve"> </w:t>
      </w:r>
      <w:r w:rsidR="00703C82">
        <w:rPr>
          <w:rFonts w:cs="Arial"/>
        </w:rPr>
        <w:t xml:space="preserve">In the table below, we highlight </w:t>
      </w:r>
      <w:r>
        <w:rPr>
          <w:rFonts w:cs="Arial"/>
        </w:rPr>
        <w:t>the source of carbon reductions and</w:t>
      </w:r>
      <w:r w:rsidR="00995492">
        <w:rPr>
          <w:rFonts w:cs="Arial"/>
        </w:rPr>
        <w:t xml:space="preserve"> key </w:t>
      </w:r>
      <w:r>
        <w:rPr>
          <w:rFonts w:cs="Arial"/>
        </w:rPr>
        <w:t xml:space="preserve">observations </w:t>
      </w:r>
      <w:r w:rsidR="00995492">
        <w:rPr>
          <w:rFonts w:cs="Arial"/>
        </w:rPr>
        <w:t xml:space="preserve">from </w:t>
      </w:r>
      <w:r>
        <w:rPr>
          <w:rFonts w:cs="Arial"/>
        </w:rPr>
        <w:t>California, Alabama, and Iowa.</w:t>
      </w:r>
      <w:r w:rsidR="00181F3F">
        <w:rPr>
          <w:rFonts w:cs="Arial"/>
        </w:rPr>
        <w:t xml:space="preserve"> </w:t>
      </w:r>
      <w:r w:rsidR="00A02BDB">
        <w:rPr>
          <w:rFonts w:cs="Arial"/>
        </w:rPr>
        <w:t xml:space="preserve">The divergent paths followed by these states illustrate that multiple levers exist to reduce carbon emissions. </w:t>
      </w:r>
    </w:p>
    <w:p w14:paraId="54575521" w14:textId="77777777" w:rsidR="00A3260D" w:rsidRPr="006A097F" w:rsidRDefault="00A3260D" w:rsidP="006A097F">
      <w:pPr>
        <w:rPr>
          <w:rFonts w:cs="Arial"/>
        </w:rPr>
      </w:pPr>
    </w:p>
    <w:p w14:paraId="7247A741" w14:textId="2C09D6B6" w:rsidR="00CA6BE4" w:rsidRDefault="00917A23" w:rsidP="00CA6BE4">
      <w:pPr>
        <w:jc w:val="left"/>
      </w:pPr>
      <w:r>
        <w:rPr>
          <w:noProof/>
        </w:rPr>
        <w:drawing>
          <wp:inline distT="0" distB="0" distL="0" distR="0" wp14:anchorId="107EE1C8" wp14:editId="11D304E3">
            <wp:extent cx="6565392" cy="3586468"/>
            <wp:effectExtent l="0" t="0" r="635" b="0"/>
            <wp:docPr id="10" name="Picture 10"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waterfall chart&#10;&#10;Description automatically generated"/>
                    <pic:cNvPicPr/>
                  </pic:nvPicPr>
                  <pic:blipFill>
                    <a:blip r:embed="rId19"/>
                    <a:stretch>
                      <a:fillRect/>
                    </a:stretch>
                  </pic:blipFill>
                  <pic:spPr>
                    <a:xfrm>
                      <a:off x="0" y="0"/>
                      <a:ext cx="6565392" cy="3586468"/>
                    </a:xfrm>
                    <a:prstGeom prst="rect">
                      <a:avLst/>
                    </a:prstGeom>
                  </pic:spPr>
                </pic:pic>
              </a:graphicData>
            </a:graphic>
          </wp:inline>
        </w:drawing>
      </w:r>
    </w:p>
    <w:tbl>
      <w:tblPr>
        <w:tblStyle w:val="TableGrid"/>
        <w:tblW w:w="9936" w:type="dxa"/>
        <w:tblInd w:w="625" w:type="dxa"/>
        <w:tblLook w:val="04A0" w:firstRow="1" w:lastRow="0" w:firstColumn="1" w:lastColumn="0" w:noHBand="0" w:noVBand="1"/>
      </w:tblPr>
      <w:tblGrid>
        <w:gridCol w:w="3312"/>
        <w:gridCol w:w="3312"/>
        <w:gridCol w:w="3312"/>
      </w:tblGrid>
      <w:tr w:rsidR="00953C7E" w:rsidRPr="00EF6A1E" w14:paraId="1F5327DE" w14:textId="77777777" w:rsidTr="00357C94">
        <w:trPr>
          <w:trHeight w:val="288"/>
        </w:trPr>
        <w:tc>
          <w:tcPr>
            <w:tcW w:w="9936" w:type="dxa"/>
            <w:gridSpan w:val="3"/>
            <w:vAlign w:val="center"/>
          </w:tcPr>
          <w:p w14:paraId="36DB8A3D" w14:textId="5ED6512B" w:rsidR="00953C7E" w:rsidRPr="00357C94" w:rsidRDefault="00953C7E" w:rsidP="00E60FFE">
            <w:pPr>
              <w:jc w:val="center"/>
              <w:rPr>
                <w:b/>
                <w:bCs/>
              </w:rPr>
            </w:pPr>
            <w:r w:rsidRPr="00357C94">
              <w:rPr>
                <w:b/>
                <w:bCs/>
              </w:rPr>
              <w:t>Key Observations</w:t>
            </w:r>
          </w:p>
        </w:tc>
      </w:tr>
      <w:tr w:rsidR="008D7A52" w:rsidRPr="00EF6A1E" w14:paraId="63BE972C" w14:textId="77777777" w:rsidTr="00357C94">
        <w:trPr>
          <w:trHeight w:val="288"/>
        </w:trPr>
        <w:tc>
          <w:tcPr>
            <w:tcW w:w="3312" w:type="dxa"/>
            <w:vAlign w:val="center"/>
          </w:tcPr>
          <w:p w14:paraId="3320B2FB" w14:textId="72294C68" w:rsidR="00B974C2" w:rsidRPr="00357C94" w:rsidRDefault="00DD4D99" w:rsidP="00E60FFE">
            <w:pPr>
              <w:jc w:val="center"/>
              <w:rPr>
                <w:b/>
                <w:bCs/>
              </w:rPr>
            </w:pPr>
            <w:r w:rsidRPr="00357C94">
              <w:rPr>
                <w:b/>
                <w:bCs/>
              </w:rPr>
              <w:t>California</w:t>
            </w:r>
          </w:p>
        </w:tc>
        <w:tc>
          <w:tcPr>
            <w:tcW w:w="3312" w:type="dxa"/>
            <w:vAlign w:val="center"/>
          </w:tcPr>
          <w:p w14:paraId="087F144A" w14:textId="2A0A69F4" w:rsidR="00B974C2" w:rsidRPr="00357C94" w:rsidRDefault="00DD4D99" w:rsidP="00E60FFE">
            <w:pPr>
              <w:jc w:val="center"/>
              <w:rPr>
                <w:b/>
                <w:bCs/>
              </w:rPr>
            </w:pPr>
            <w:r w:rsidRPr="00357C94">
              <w:rPr>
                <w:b/>
                <w:bCs/>
              </w:rPr>
              <w:t>Alabama</w:t>
            </w:r>
          </w:p>
        </w:tc>
        <w:tc>
          <w:tcPr>
            <w:tcW w:w="3312" w:type="dxa"/>
            <w:vAlign w:val="center"/>
          </w:tcPr>
          <w:p w14:paraId="0E3A0AD7" w14:textId="104046B0" w:rsidR="00B974C2" w:rsidRPr="00357C94" w:rsidRDefault="00DD4D99" w:rsidP="00E60FFE">
            <w:pPr>
              <w:jc w:val="center"/>
              <w:rPr>
                <w:b/>
                <w:bCs/>
              </w:rPr>
            </w:pPr>
            <w:r w:rsidRPr="00357C94">
              <w:rPr>
                <w:b/>
                <w:bCs/>
              </w:rPr>
              <w:t>Iowa</w:t>
            </w:r>
          </w:p>
        </w:tc>
      </w:tr>
      <w:tr w:rsidR="008D7A52" w:rsidRPr="00EF6A1E" w14:paraId="7F688792" w14:textId="77777777" w:rsidTr="00357C94">
        <w:tc>
          <w:tcPr>
            <w:tcW w:w="3312" w:type="dxa"/>
          </w:tcPr>
          <w:p w14:paraId="38D8F700" w14:textId="77777777" w:rsidR="00DB4292" w:rsidRPr="00357C94" w:rsidRDefault="00DB4292" w:rsidP="00D42DF1">
            <w:pPr>
              <w:jc w:val="left"/>
              <w:rPr>
                <w:rFonts w:cs="Arial"/>
              </w:rPr>
            </w:pPr>
            <w:r w:rsidRPr="00357C94">
              <w:rPr>
                <w:rFonts w:cs="Arial"/>
              </w:rPr>
              <w:t xml:space="preserve">California eliminated most of its coal generation by 2005.  As a </w:t>
            </w:r>
            <w:proofErr w:type="gramStart"/>
            <w:r w:rsidRPr="00357C94">
              <w:rPr>
                <w:rFonts w:cs="Arial"/>
              </w:rPr>
              <w:t>result,  the</w:t>
            </w:r>
            <w:proofErr w:type="gramEnd"/>
            <w:r w:rsidRPr="00357C94">
              <w:rPr>
                <w:rFonts w:cs="Arial"/>
              </w:rPr>
              <w:t xml:space="preserve"> state saw limited emissions reductions from fossil fuel switching. </w:t>
            </w:r>
          </w:p>
          <w:p w14:paraId="76888CE5" w14:textId="77777777" w:rsidR="00DB4292" w:rsidRPr="00357C94" w:rsidRDefault="00DB4292" w:rsidP="00D42DF1">
            <w:pPr>
              <w:pStyle w:val="ListParagraph"/>
              <w:contextualSpacing w:val="0"/>
              <w:jc w:val="left"/>
              <w:rPr>
                <w:rFonts w:cs="Arial"/>
              </w:rPr>
            </w:pPr>
          </w:p>
          <w:p w14:paraId="6F921B7C" w14:textId="77777777" w:rsidR="00DB4292" w:rsidRPr="00357C94" w:rsidRDefault="00DB4292" w:rsidP="00D42DF1">
            <w:pPr>
              <w:jc w:val="left"/>
              <w:rPr>
                <w:rFonts w:cs="Arial"/>
              </w:rPr>
            </w:pPr>
            <w:r w:rsidRPr="00357C94">
              <w:rPr>
                <w:rFonts w:cs="Arial"/>
              </w:rPr>
              <w:t xml:space="preserve">Meanwhile, emissions reductions from increasing solar and wind were offset by decreases in nuclear and hydropower generation over the study period. </w:t>
            </w:r>
          </w:p>
          <w:p w14:paraId="53354C45" w14:textId="77777777" w:rsidR="00DB4292" w:rsidRPr="00357C94" w:rsidRDefault="00DB4292" w:rsidP="00D42DF1">
            <w:pPr>
              <w:jc w:val="left"/>
              <w:rPr>
                <w:rFonts w:cs="Arial"/>
              </w:rPr>
            </w:pPr>
          </w:p>
          <w:p w14:paraId="21BA4E40" w14:textId="3EBBE662" w:rsidR="00DB4292" w:rsidRPr="00357C94" w:rsidRDefault="00DB4292" w:rsidP="00D42DF1">
            <w:pPr>
              <w:jc w:val="left"/>
            </w:pPr>
            <w:r w:rsidRPr="00357C94">
              <w:rPr>
                <w:rFonts w:cs="Arial"/>
              </w:rPr>
              <w:t>Lessons from California show that emissions reductions can be limited if carbon-free resources are retired, most notably nuclear generation.</w:t>
            </w:r>
            <w:r w:rsidRPr="00357C94">
              <w:rPr>
                <w:rStyle w:val="FootnoteReference"/>
                <w:rFonts w:cs="Arial"/>
              </w:rPr>
              <w:footnoteReference w:id="13"/>
            </w:r>
          </w:p>
        </w:tc>
        <w:tc>
          <w:tcPr>
            <w:tcW w:w="3312" w:type="dxa"/>
          </w:tcPr>
          <w:p w14:paraId="6219A70E" w14:textId="77777777" w:rsidR="00DB4292" w:rsidRPr="00357C94" w:rsidRDefault="00DB4292" w:rsidP="00D42DF1">
            <w:pPr>
              <w:jc w:val="left"/>
              <w:rPr>
                <w:rFonts w:cs="Arial"/>
              </w:rPr>
            </w:pPr>
            <w:r w:rsidRPr="00357C94">
              <w:rPr>
                <w:rFonts w:cs="Arial"/>
              </w:rPr>
              <w:t>Since 2005, Alabama shifted much of its coal generation to natural gas, resulting in significant reductions in carbon emissions.</w:t>
            </w:r>
          </w:p>
          <w:p w14:paraId="0D2AAC8A" w14:textId="77777777" w:rsidR="00DB4292" w:rsidRPr="00357C94" w:rsidRDefault="00DB4292" w:rsidP="00D42DF1">
            <w:pPr>
              <w:jc w:val="left"/>
              <w:rPr>
                <w:rFonts w:cs="Arial"/>
              </w:rPr>
            </w:pPr>
          </w:p>
          <w:p w14:paraId="3929F104" w14:textId="77777777" w:rsidR="00DB4292" w:rsidRPr="00357C94" w:rsidRDefault="00DB4292" w:rsidP="00D42DF1">
            <w:pPr>
              <w:jc w:val="left"/>
              <w:rPr>
                <w:rFonts w:cs="Arial"/>
              </w:rPr>
            </w:pPr>
            <w:r w:rsidRPr="00357C94">
              <w:rPr>
                <w:rFonts w:cs="Arial"/>
              </w:rPr>
              <w:t xml:space="preserve">The state also increased its nuclear generation output, driving additional carbon reductions.  </w:t>
            </w:r>
          </w:p>
          <w:p w14:paraId="190FF9DA" w14:textId="77777777" w:rsidR="00DB4292" w:rsidRPr="00357C94" w:rsidRDefault="00DB4292" w:rsidP="00D42DF1">
            <w:pPr>
              <w:jc w:val="left"/>
              <w:rPr>
                <w:rFonts w:cs="Arial"/>
              </w:rPr>
            </w:pPr>
          </w:p>
          <w:p w14:paraId="0358A9DF" w14:textId="14F0DA0B" w:rsidR="00DB4292" w:rsidRPr="00357C94" w:rsidRDefault="00DB4292" w:rsidP="00D42DF1">
            <w:pPr>
              <w:jc w:val="left"/>
            </w:pPr>
            <w:r w:rsidRPr="00357C94">
              <w:rPr>
                <w:rFonts w:cs="Arial"/>
              </w:rPr>
              <w:t>Alabama illustrates how fossil fuel switching has been a critical driver for carbon-emissions reductions since 2005.</w:t>
            </w:r>
          </w:p>
        </w:tc>
        <w:tc>
          <w:tcPr>
            <w:tcW w:w="3312" w:type="dxa"/>
          </w:tcPr>
          <w:p w14:paraId="41C607EC" w14:textId="4A7B1D92" w:rsidR="00DB4292" w:rsidRPr="00357C94" w:rsidRDefault="00DB4292" w:rsidP="00D42DF1">
            <w:pPr>
              <w:jc w:val="left"/>
              <w:rPr>
                <w:rFonts w:cs="Arial"/>
              </w:rPr>
            </w:pPr>
            <w:r w:rsidRPr="00357C94">
              <w:rPr>
                <w:rFonts w:cs="Arial"/>
              </w:rPr>
              <w:t>Iowa is a leader in wind generation.  In 2019, the state’s wind generation</w:t>
            </w:r>
            <w:r w:rsidR="00252A7D" w:rsidRPr="00357C94">
              <w:rPr>
                <w:rFonts w:cs="Arial"/>
              </w:rPr>
              <w:t>,</w:t>
            </w:r>
            <w:r w:rsidRPr="00357C94">
              <w:rPr>
                <w:rFonts w:cs="Arial"/>
              </w:rPr>
              <w:t xml:space="preserve"> as a percentage of in-state generation</w:t>
            </w:r>
            <w:r w:rsidR="00252A7D" w:rsidRPr="00357C94">
              <w:rPr>
                <w:rFonts w:cs="Arial"/>
              </w:rPr>
              <w:t xml:space="preserve">, </w:t>
            </w:r>
            <w:r w:rsidRPr="00357C94">
              <w:rPr>
                <w:rFonts w:cs="Arial"/>
              </w:rPr>
              <w:t>ranked first in the United States.</w:t>
            </w:r>
          </w:p>
          <w:p w14:paraId="652AAD97" w14:textId="77777777" w:rsidR="00DB4292" w:rsidRPr="00357C94" w:rsidRDefault="00DB4292" w:rsidP="00D42DF1">
            <w:pPr>
              <w:jc w:val="left"/>
              <w:rPr>
                <w:rFonts w:cs="Arial"/>
              </w:rPr>
            </w:pPr>
          </w:p>
          <w:p w14:paraId="31527749" w14:textId="77777777" w:rsidR="00DB4292" w:rsidRPr="00357C94" w:rsidRDefault="00DB4292" w:rsidP="00D42DF1">
            <w:pPr>
              <w:jc w:val="left"/>
              <w:rPr>
                <w:rFonts w:cs="Arial"/>
              </w:rPr>
            </w:pPr>
            <w:r w:rsidRPr="00357C94">
              <w:rPr>
                <w:rFonts w:cs="Arial"/>
              </w:rPr>
              <w:t xml:space="preserve">The wind fleet has driven </w:t>
            </w:r>
            <w:proofErr w:type="gramStart"/>
            <w:r w:rsidRPr="00357C94">
              <w:rPr>
                <w:rFonts w:cs="Arial"/>
              </w:rPr>
              <w:t>the majority of</w:t>
            </w:r>
            <w:proofErr w:type="gramEnd"/>
            <w:r w:rsidRPr="00357C94">
              <w:rPr>
                <w:rFonts w:cs="Arial"/>
              </w:rPr>
              <w:t xml:space="preserve"> the state’s carbon-emissions reductions since 2005.</w:t>
            </w:r>
          </w:p>
          <w:p w14:paraId="43B707E8" w14:textId="77777777" w:rsidR="00DB4292" w:rsidRPr="00357C94" w:rsidRDefault="00DB4292" w:rsidP="00D42DF1">
            <w:pPr>
              <w:jc w:val="left"/>
              <w:rPr>
                <w:rFonts w:cs="Arial"/>
              </w:rPr>
            </w:pPr>
          </w:p>
          <w:p w14:paraId="7B798176" w14:textId="5FB727B2" w:rsidR="00DB4292" w:rsidRPr="00357C94" w:rsidRDefault="00DB4292" w:rsidP="00D42DF1">
            <w:pPr>
              <w:jc w:val="left"/>
            </w:pPr>
            <w:r w:rsidRPr="00357C94">
              <w:rPr>
                <w:rFonts w:cs="Arial"/>
              </w:rPr>
              <w:t>While renewable resource availability varies by location, Iowa illustrates how renewable resources can be leveraged to drive substantial carbon-emissions reductions.</w:t>
            </w:r>
          </w:p>
        </w:tc>
      </w:tr>
    </w:tbl>
    <w:p w14:paraId="22A211A7" w14:textId="77777777" w:rsidR="00B974C2" w:rsidRDefault="00B974C2" w:rsidP="00CA6BE4">
      <w:pPr>
        <w:jc w:val="left"/>
      </w:pPr>
    </w:p>
    <w:p w14:paraId="0F3CAD39" w14:textId="77777777" w:rsidR="006D5A5C" w:rsidRDefault="006D5A5C">
      <w:pPr>
        <w:jc w:val="left"/>
        <w:rPr>
          <w:rFonts w:eastAsia="Calibri" w:cstheme="minorHAnsi"/>
          <w:b/>
          <w:color w:val="5F6062" w:themeColor="accent1"/>
        </w:rPr>
      </w:pPr>
      <w:r>
        <w:rPr>
          <w:rFonts w:eastAsia="Calibri"/>
        </w:rPr>
        <w:br w:type="page"/>
      </w:r>
    </w:p>
    <w:p w14:paraId="61964298" w14:textId="30E6544C" w:rsidR="00A34598" w:rsidRPr="00AD6BDA" w:rsidRDefault="00B43DF3" w:rsidP="00B43DF3">
      <w:pPr>
        <w:pStyle w:val="MinorLeft"/>
        <w:rPr>
          <w:rFonts w:eastAsia="Calibri"/>
        </w:rPr>
      </w:pPr>
      <w:r>
        <w:rPr>
          <w:rFonts w:eastAsia="Calibri"/>
        </w:rPr>
        <w:t xml:space="preserve">Largest Opportunities Moving Forward? </w:t>
      </w:r>
    </w:p>
    <w:p w14:paraId="7E8034CA" w14:textId="22CDE5A4" w:rsidR="00C811DF" w:rsidRDefault="0051642D" w:rsidP="003B6713">
      <w:r>
        <w:rPr>
          <w:rFonts w:cs="Arial"/>
        </w:rPr>
        <w:t>Significant</w:t>
      </w:r>
      <w:r w:rsidR="000C7501">
        <w:rPr>
          <w:rFonts w:cs="Arial"/>
        </w:rPr>
        <w:t xml:space="preserve"> p</w:t>
      </w:r>
      <w:r w:rsidR="00845E38">
        <w:rPr>
          <w:rFonts w:cs="Arial"/>
        </w:rPr>
        <w:t xml:space="preserve">rogress has been made toward decarbonizing the </w:t>
      </w:r>
      <w:r w:rsidR="000C7501">
        <w:rPr>
          <w:rFonts w:cs="Arial"/>
        </w:rPr>
        <w:t>e</w:t>
      </w:r>
      <w:r w:rsidR="00845E38">
        <w:rPr>
          <w:rFonts w:cs="Arial"/>
        </w:rPr>
        <w:t xml:space="preserve">lectric </w:t>
      </w:r>
      <w:r w:rsidR="000C7501">
        <w:rPr>
          <w:rFonts w:cs="Arial"/>
        </w:rPr>
        <w:t>s</w:t>
      </w:r>
      <w:r w:rsidR="00845E38">
        <w:rPr>
          <w:rFonts w:cs="Arial"/>
        </w:rPr>
        <w:t>ector,</w:t>
      </w:r>
      <w:r w:rsidR="000C7501">
        <w:rPr>
          <w:rFonts w:cs="Arial"/>
        </w:rPr>
        <w:t xml:space="preserve"> yet</w:t>
      </w:r>
      <w:r w:rsidR="00845E38">
        <w:rPr>
          <w:rFonts w:cs="Arial"/>
        </w:rPr>
        <w:t xml:space="preserve"> </w:t>
      </w:r>
      <w:r w:rsidR="001B56FC">
        <w:rPr>
          <w:rFonts w:cs="Arial"/>
        </w:rPr>
        <w:t xml:space="preserve">many states still </w:t>
      </w:r>
      <w:r w:rsidR="000C7501">
        <w:rPr>
          <w:rFonts w:cs="Arial"/>
        </w:rPr>
        <w:t xml:space="preserve">rely on carbon-intensive </w:t>
      </w:r>
      <w:r w:rsidR="001B56FC">
        <w:rPr>
          <w:rFonts w:cs="Arial"/>
        </w:rPr>
        <w:t xml:space="preserve">coal </w:t>
      </w:r>
      <w:r w:rsidR="00DF707B">
        <w:rPr>
          <w:rFonts w:cs="Arial"/>
        </w:rPr>
        <w:t>generation</w:t>
      </w:r>
      <w:r w:rsidR="00AD0A95">
        <w:rPr>
          <w:rFonts w:cs="Arial"/>
        </w:rPr>
        <w:t>.</w:t>
      </w:r>
      <w:r w:rsidR="00181F3F">
        <w:rPr>
          <w:rFonts w:cs="Arial"/>
        </w:rPr>
        <w:t xml:space="preserve"> </w:t>
      </w:r>
      <w:r w:rsidR="00AD0A95">
        <w:rPr>
          <w:rFonts w:cs="Arial"/>
        </w:rPr>
        <w:t>A state-</w:t>
      </w:r>
      <w:r w:rsidR="007A0D8D">
        <w:rPr>
          <w:rFonts w:cs="Arial"/>
        </w:rPr>
        <w:t>level breakdown of these emissions</w:t>
      </w:r>
      <w:r w:rsidR="00056AE4">
        <w:rPr>
          <w:rFonts w:cs="Arial"/>
        </w:rPr>
        <w:t xml:space="preserve"> </w:t>
      </w:r>
      <w:r w:rsidR="007B3788">
        <w:rPr>
          <w:rFonts w:cs="Arial"/>
        </w:rPr>
        <w:t xml:space="preserve">shows </w:t>
      </w:r>
      <w:proofErr w:type="gramStart"/>
      <w:r w:rsidR="003B6713">
        <w:rPr>
          <w:rFonts w:cs="Arial"/>
        </w:rPr>
        <w:t>the majority of</w:t>
      </w:r>
      <w:proofErr w:type="gramEnd"/>
      <w:r w:rsidR="003B6713">
        <w:rPr>
          <w:rFonts w:cs="Arial"/>
        </w:rPr>
        <w:t xml:space="preserve"> states still </w:t>
      </w:r>
      <w:r w:rsidR="00F81ACF">
        <w:rPr>
          <w:rFonts w:cs="Arial"/>
        </w:rPr>
        <w:t>use</w:t>
      </w:r>
      <w:r w:rsidR="003B6713">
        <w:rPr>
          <w:rFonts w:cs="Arial"/>
        </w:rPr>
        <w:t xml:space="preserve"> </w:t>
      </w:r>
      <w:r w:rsidR="001B384F">
        <w:rPr>
          <w:rFonts w:cs="Arial"/>
        </w:rPr>
        <w:t>coal</w:t>
      </w:r>
      <w:r w:rsidR="00F81ACF">
        <w:rPr>
          <w:rFonts w:cs="Arial"/>
        </w:rPr>
        <w:t xml:space="preserve"> in their generation mix</w:t>
      </w:r>
      <w:r w:rsidR="001B384F">
        <w:rPr>
          <w:rFonts w:cs="Arial"/>
        </w:rPr>
        <w:t xml:space="preserve">, </w:t>
      </w:r>
      <w:r w:rsidR="0037755F">
        <w:rPr>
          <w:rFonts w:cs="Arial"/>
        </w:rPr>
        <w:t>and</w:t>
      </w:r>
      <w:r w:rsidR="001B384F">
        <w:rPr>
          <w:rFonts w:cs="Arial"/>
        </w:rPr>
        <w:t xml:space="preserve"> </w:t>
      </w:r>
      <w:r w:rsidR="00C43CC4">
        <w:rPr>
          <w:rFonts w:cs="Arial"/>
        </w:rPr>
        <w:t xml:space="preserve">there are </w:t>
      </w:r>
      <w:r w:rsidR="007B3788">
        <w:rPr>
          <w:rFonts w:cs="Arial"/>
        </w:rPr>
        <w:t>significant emissions from these resources in Texas and</w:t>
      </w:r>
      <w:r w:rsidR="003909D7">
        <w:rPr>
          <w:rFonts w:cs="Arial"/>
        </w:rPr>
        <w:t xml:space="preserve"> the</w:t>
      </w:r>
      <w:r w:rsidR="007B3788">
        <w:rPr>
          <w:rFonts w:cs="Arial"/>
        </w:rPr>
        <w:t xml:space="preserve"> northe</w:t>
      </w:r>
      <w:r w:rsidR="003B6713">
        <w:rPr>
          <w:rFonts w:cs="Arial"/>
        </w:rPr>
        <w:t>astern portion of the Midwest (see Figure 6).</w:t>
      </w:r>
      <w:r w:rsidR="00181F3F">
        <w:rPr>
          <w:rFonts w:cs="Arial"/>
        </w:rPr>
        <w:t xml:space="preserve"> </w:t>
      </w:r>
      <w:r w:rsidR="00A91FB8">
        <w:t xml:space="preserve">This </w:t>
      </w:r>
      <w:r w:rsidR="00C42904">
        <w:t>breakdown</w:t>
      </w:r>
      <w:r w:rsidR="00420CFD">
        <w:t xml:space="preserve"> showcases states </w:t>
      </w:r>
      <w:r w:rsidR="008A7AD2">
        <w:t xml:space="preserve">that </w:t>
      </w:r>
      <w:r w:rsidR="008C2ACC">
        <w:t>have</w:t>
      </w:r>
      <w:r w:rsidR="00420CFD">
        <w:t xml:space="preserve"> the greatest</w:t>
      </w:r>
      <w:r w:rsidR="00B02212">
        <w:t xml:space="preserve"> </w:t>
      </w:r>
      <w:r w:rsidR="00566064">
        <w:t xml:space="preserve">opportunity for </w:t>
      </w:r>
      <w:r w:rsidR="00C811DF">
        <w:t xml:space="preserve">coal-related </w:t>
      </w:r>
      <w:r w:rsidR="00566064">
        <w:t xml:space="preserve">carbon </w:t>
      </w:r>
      <w:r w:rsidR="001B384F">
        <w:t>reduction</w:t>
      </w:r>
      <w:r w:rsidR="00566064">
        <w:t>s</w:t>
      </w:r>
      <w:r w:rsidR="001B384F">
        <w:t xml:space="preserve"> through fossil fuel switching or by replac</w:t>
      </w:r>
      <w:r w:rsidR="00566064">
        <w:t>ing</w:t>
      </w:r>
      <w:r w:rsidR="00DD0CCC">
        <w:t xml:space="preserve"> coal</w:t>
      </w:r>
      <w:r w:rsidR="001B384F">
        <w:t xml:space="preserve"> </w:t>
      </w:r>
      <w:r w:rsidR="00566064">
        <w:t xml:space="preserve">with </w:t>
      </w:r>
      <w:r w:rsidR="00DD0CCC">
        <w:t>carbon-free</w:t>
      </w:r>
      <w:r w:rsidR="001B384F">
        <w:t xml:space="preserve"> generation</w:t>
      </w:r>
      <w:r w:rsidR="00E12691">
        <w:t>,</w:t>
      </w:r>
      <w:r w:rsidR="00C811DF">
        <w:t xml:space="preserve"> like wind and solar</w:t>
      </w:r>
      <w:r w:rsidR="001B384F">
        <w:t xml:space="preserve">. </w:t>
      </w:r>
    </w:p>
    <w:p w14:paraId="3F30845B" w14:textId="4C9E2204" w:rsidR="0057105C" w:rsidRPr="006A097F" w:rsidRDefault="0057105C" w:rsidP="003B6713">
      <w:pPr>
        <w:rPr>
          <w:rFonts w:cs="Arial"/>
        </w:rPr>
      </w:pPr>
    </w:p>
    <w:p w14:paraId="6DBE5D71" w14:textId="5DD4FDDD" w:rsidR="00AD0A95" w:rsidRPr="00A9290A" w:rsidRDefault="00AD0A95" w:rsidP="00A9290A">
      <w:pPr>
        <w:keepNext/>
        <w:jc w:val="center"/>
        <w:rPr>
          <w:rFonts w:cs="Arial"/>
          <w:b/>
          <w:bCs/>
        </w:rPr>
      </w:pPr>
      <w:r w:rsidRPr="0078012E">
        <w:rPr>
          <w:rFonts w:cs="Arial"/>
          <w:b/>
          <w:bCs/>
        </w:rPr>
        <w:t xml:space="preserve">Figure </w:t>
      </w:r>
      <w:r w:rsidR="009E4DBC">
        <w:rPr>
          <w:rFonts w:cs="Arial"/>
          <w:b/>
          <w:bCs/>
        </w:rPr>
        <w:t>6</w:t>
      </w:r>
      <w:r w:rsidRPr="0078012E">
        <w:rPr>
          <w:rFonts w:cs="Arial"/>
          <w:b/>
          <w:bCs/>
        </w:rPr>
        <w:t xml:space="preserve">: </w:t>
      </w:r>
      <w:r w:rsidR="000C7501">
        <w:rPr>
          <w:rFonts w:cs="Arial"/>
          <w:b/>
          <w:bCs/>
        </w:rPr>
        <w:t xml:space="preserve">Carbon Emissions from </w:t>
      </w:r>
      <w:r w:rsidR="009E4DBC">
        <w:rPr>
          <w:rFonts w:cs="Arial"/>
          <w:b/>
          <w:bCs/>
        </w:rPr>
        <w:t xml:space="preserve">Coal </w:t>
      </w:r>
      <w:r w:rsidR="0006197A">
        <w:rPr>
          <w:rFonts w:cs="Arial"/>
          <w:b/>
          <w:bCs/>
        </w:rPr>
        <w:t xml:space="preserve">Power </w:t>
      </w:r>
      <w:r w:rsidR="001B56FC">
        <w:rPr>
          <w:rFonts w:cs="Arial"/>
          <w:b/>
          <w:bCs/>
        </w:rPr>
        <w:t xml:space="preserve">Generation </w:t>
      </w:r>
      <w:r w:rsidR="009C6761">
        <w:rPr>
          <w:rFonts w:cs="Arial"/>
          <w:b/>
          <w:bCs/>
        </w:rPr>
        <w:t xml:space="preserve">by State </w:t>
      </w:r>
      <w:r w:rsidR="00877384">
        <w:rPr>
          <w:rFonts w:cs="Arial"/>
          <w:b/>
          <w:bCs/>
        </w:rPr>
        <w:t>(in MMT</w:t>
      </w:r>
      <w:r w:rsidR="00AD2285">
        <w:rPr>
          <w:rFonts w:cs="Arial"/>
          <w:b/>
          <w:bCs/>
        </w:rPr>
        <w:t xml:space="preserve"> CO</w:t>
      </w:r>
      <w:r w:rsidR="00AD2285" w:rsidRPr="00357C94">
        <w:rPr>
          <w:rFonts w:cs="Arial"/>
          <w:b/>
          <w:bCs/>
          <w:vertAlign w:val="subscript"/>
        </w:rPr>
        <w:t>2</w:t>
      </w:r>
      <w:r w:rsidR="00877384">
        <w:rPr>
          <w:rFonts w:cs="Arial"/>
          <w:b/>
          <w:bCs/>
        </w:rPr>
        <w:t>)</w:t>
      </w:r>
      <w:r w:rsidR="001B56FC">
        <w:rPr>
          <w:rFonts w:cs="Arial"/>
          <w:b/>
          <w:bCs/>
        </w:rPr>
        <w:t>, 2019</w:t>
      </w:r>
    </w:p>
    <w:p w14:paraId="76222EB1" w14:textId="40A04224" w:rsidR="00CC7026" w:rsidRDefault="00CC7026" w:rsidP="00807218">
      <w:pPr>
        <w:keepNext/>
        <w:jc w:val="left"/>
      </w:pPr>
    </w:p>
    <w:p w14:paraId="704CC619" w14:textId="7DD4EB3E" w:rsidR="00A028E6" w:rsidRDefault="00905715" w:rsidP="00807218">
      <w:pPr>
        <w:keepNext/>
        <w:jc w:val="left"/>
      </w:pPr>
      <w:r>
        <w:rPr>
          <w:noProof/>
        </w:rPr>
        <w:drawing>
          <wp:inline distT="0" distB="0" distL="0" distR="0" wp14:anchorId="6C51AB5F" wp14:editId="7C71D3F8">
            <wp:extent cx="6561694" cy="3584448"/>
            <wp:effectExtent l="0" t="0" r="4445" b="0"/>
            <wp:docPr id="15" name="Picture 1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Map&#10;&#10;Description automatically generated"/>
                    <pic:cNvPicPr/>
                  </pic:nvPicPr>
                  <pic:blipFill>
                    <a:blip r:embed="rId20"/>
                    <a:stretch>
                      <a:fillRect/>
                    </a:stretch>
                  </pic:blipFill>
                  <pic:spPr>
                    <a:xfrm>
                      <a:off x="0" y="0"/>
                      <a:ext cx="6561694" cy="3584448"/>
                    </a:xfrm>
                    <a:prstGeom prst="rect">
                      <a:avLst/>
                    </a:prstGeom>
                  </pic:spPr>
                </pic:pic>
              </a:graphicData>
            </a:graphic>
          </wp:inline>
        </w:drawing>
      </w:r>
    </w:p>
    <w:p w14:paraId="27217F10" w14:textId="13BE0604" w:rsidR="00A028E6" w:rsidRDefault="00A028E6" w:rsidP="00807218">
      <w:pPr>
        <w:keepNext/>
        <w:jc w:val="left"/>
      </w:pPr>
    </w:p>
    <w:p w14:paraId="0FB64FAD" w14:textId="69162582" w:rsidR="00BB17C6" w:rsidRDefault="00DF4556" w:rsidP="00B43DF3">
      <w:r>
        <w:t xml:space="preserve">The key question moving forward will be </w:t>
      </w:r>
      <w:r w:rsidR="00C43CC4">
        <w:t>“</w:t>
      </w:r>
      <w:r w:rsidR="00FE5EA6">
        <w:t>w</w:t>
      </w:r>
      <w:r w:rsidR="00C43CC4">
        <w:t>hich</w:t>
      </w:r>
      <w:r>
        <w:t xml:space="preserve"> path </w:t>
      </w:r>
      <w:r w:rsidR="00C43CC4">
        <w:t xml:space="preserve">will </w:t>
      </w:r>
      <w:proofErr w:type="gramStart"/>
      <w:r w:rsidR="00EF0984">
        <w:t>states</w:t>
      </w:r>
      <w:proofErr w:type="gramEnd"/>
      <w:r w:rsidR="00EF0984">
        <w:t xml:space="preserve"> and utilities follow </w:t>
      </w:r>
      <w:r>
        <w:t xml:space="preserve">for future </w:t>
      </w:r>
      <w:r w:rsidR="00C90939">
        <w:t>carbon-emissions</w:t>
      </w:r>
      <w:r>
        <w:t xml:space="preserve"> reductions</w:t>
      </w:r>
      <w:r w:rsidR="00EF0984">
        <w:t>?”</w:t>
      </w:r>
      <w:r w:rsidR="00181F3F">
        <w:t xml:space="preserve"> </w:t>
      </w:r>
    </w:p>
    <w:p w14:paraId="15804FFF" w14:textId="37C377A7" w:rsidR="00BB17C6" w:rsidRDefault="00BB17C6" w:rsidP="00B43DF3"/>
    <w:p w14:paraId="06A9D01E" w14:textId="4FEF94FA" w:rsidR="0008119B" w:rsidRDefault="005C0B89" w:rsidP="00B43DF3">
      <w:r>
        <w:t>As mentioned above, o</w:t>
      </w:r>
      <w:r w:rsidR="00BB17C6" w:rsidRPr="007A3AA1">
        <w:t xml:space="preserve">ne </w:t>
      </w:r>
      <w:r w:rsidR="00222522" w:rsidRPr="007A3AA1">
        <w:t>strategy</w:t>
      </w:r>
      <w:r w:rsidR="00BB17C6" w:rsidRPr="007A3AA1">
        <w:t xml:space="preserve"> is clearly to build new natural gas generation to replace coal</w:t>
      </w:r>
      <w:r w:rsidR="003D5553">
        <w:t xml:space="preserve"> if there are coal emissions to be replaced</w:t>
      </w:r>
      <w:r w:rsidR="00BB17C6" w:rsidRPr="007A3AA1">
        <w:t xml:space="preserve">, as this </w:t>
      </w:r>
      <w:r w:rsidR="002947A9" w:rsidRPr="007A3AA1">
        <w:t xml:space="preserve">has </w:t>
      </w:r>
      <w:r w:rsidR="00CC4DD0" w:rsidRPr="007A3AA1">
        <w:t xml:space="preserve">historically driven </w:t>
      </w:r>
      <w:proofErr w:type="gramStart"/>
      <w:r w:rsidR="00CC4DD0" w:rsidRPr="007A3AA1">
        <w:t xml:space="preserve">the majority </w:t>
      </w:r>
      <w:r w:rsidR="000153FC" w:rsidRPr="007A3AA1">
        <w:t>of</w:t>
      </w:r>
      <w:proofErr w:type="gramEnd"/>
      <w:r w:rsidR="000153FC" w:rsidRPr="007A3AA1">
        <w:t xml:space="preserve"> carbon reductions</w:t>
      </w:r>
      <w:r w:rsidR="00BB17C6" w:rsidRPr="007A3AA1">
        <w:t>.</w:t>
      </w:r>
      <w:r w:rsidR="00181F3F">
        <w:t xml:space="preserve"> </w:t>
      </w:r>
      <w:r w:rsidR="00BB17C6" w:rsidRPr="007A3AA1">
        <w:t>Howev</w:t>
      </w:r>
      <w:r w:rsidR="00A703C7" w:rsidRPr="007A3AA1">
        <w:t>er, natural gas generation</w:t>
      </w:r>
      <w:r w:rsidR="00BB17C6" w:rsidRPr="007A3AA1">
        <w:t xml:space="preserve"> still </w:t>
      </w:r>
      <w:r w:rsidR="005B3466" w:rsidRPr="007A3AA1">
        <w:t>emits</w:t>
      </w:r>
      <w:r w:rsidR="00996B6E" w:rsidRPr="007A3AA1">
        <w:t xml:space="preserve"> carbon</w:t>
      </w:r>
      <w:r w:rsidR="003F2679" w:rsidRPr="007A3AA1">
        <w:t xml:space="preserve">, and </w:t>
      </w:r>
      <w:r w:rsidR="00EA712E" w:rsidRPr="007A3AA1">
        <w:t xml:space="preserve">if </w:t>
      </w:r>
      <w:r w:rsidR="00AB5141" w:rsidRPr="007A3AA1">
        <w:t xml:space="preserve">additional </w:t>
      </w:r>
      <w:r w:rsidR="00EA712E" w:rsidRPr="007A3AA1">
        <w:t xml:space="preserve">states </w:t>
      </w:r>
      <w:r w:rsidR="00E33B18" w:rsidRPr="007A3AA1">
        <w:t xml:space="preserve">or utilities </w:t>
      </w:r>
      <w:r w:rsidR="00235873" w:rsidRPr="007A3AA1">
        <w:t xml:space="preserve">mandate </w:t>
      </w:r>
      <w:r w:rsidR="00EA712E" w:rsidRPr="007A3AA1">
        <w:t>net</w:t>
      </w:r>
      <w:r w:rsidR="004A4E86" w:rsidRPr="007A3AA1">
        <w:t>-</w:t>
      </w:r>
      <w:r w:rsidR="00EA712E" w:rsidRPr="007A3AA1">
        <w:t xml:space="preserve">zero targets, </w:t>
      </w:r>
      <w:r w:rsidR="00255A11" w:rsidRPr="007A3AA1">
        <w:t xml:space="preserve">these </w:t>
      </w:r>
      <w:r w:rsidR="00ED37F1" w:rsidRPr="007A3AA1">
        <w:t xml:space="preserve">new </w:t>
      </w:r>
      <w:r w:rsidR="00131118" w:rsidRPr="007A3AA1">
        <w:t>generation</w:t>
      </w:r>
      <w:r w:rsidR="00ED37F1" w:rsidRPr="007A3AA1">
        <w:t xml:space="preserve"> sites </w:t>
      </w:r>
      <w:r w:rsidR="000D43F2" w:rsidRPr="007A3AA1">
        <w:t>will</w:t>
      </w:r>
      <w:r w:rsidR="00E673FE" w:rsidRPr="007A3AA1">
        <w:t xml:space="preserve"> need to </w:t>
      </w:r>
      <w:r w:rsidR="00255A11" w:rsidRPr="007A3AA1">
        <w:t>offset</w:t>
      </w:r>
      <w:r w:rsidR="00ED37F1" w:rsidRPr="007A3AA1">
        <w:t xml:space="preserve"> their emissions with</w:t>
      </w:r>
      <w:r w:rsidR="00255A11" w:rsidRPr="007A3AA1">
        <w:t xml:space="preserve"> </w:t>
      </w:r>
      <w:r w:rsidR="00BB17C6" w:rsidRPr="007A3AA1">
        <w:t xml:space="preserve">carbon capture </w:t>
      </w:r>
      <w:r w:rsidR="00091BC8" w:rsidRPr="007A3AA1">
        <w:t xml:space="preserve">or </w:t>
      </w:r>
      <w:r w:rsidR="00ED1CCF" w:rsidRPr="007A3AA1">
        <w:t>carbon</w:t>
      </w:r>
      <w:r w:rsidR="00203456">
        <w:t>-</w:t>
      </w:r>
      <w:r w:rsidR="00ED1CCF" w:rsidRPr="007A3AA1">
        <w:t>sequestration</w:t>
      </w:r>
      <w:r w:rsidR="00822DA2" w:rsidRPr="007A3AA1">
        <w:t xml:space="preserve"> technology</w:t>
      </w:r>
      <w:r w:rsidR="007919A1" w:rsidRPr="007A3AA1">
        <w:t xml:space="preserve">, both of which </w:t>
      </w:r>
      <w:r w:rsidR="00897FCA" w:rsidRPr="007A3AA1">
        <w:t xml:space="preserve">require </w:t>
      </w:r>
      <w:r w:rsidR="001F5DB2" w:rsidRPr="007A3AA1">
        <w:t xml:space="preserve">technology </w:t>
      </w:r>
      <w:r w:rsidR="00897FCA" w:rsidRPr="007A3AA1">
        <w:t xml:space="preserve">cost decreases to </w:t>
      </w:r>
      <w:r w:rsidR="00EB44A3" w:rsidRPr="007A3AA1">
        <w:t>achieve</w:t>
      </w:r>
      <w:r w:rsidR="00897FCA" w:rsidRPr="007A3AA1">
        <w:t xml:space="preserve"> </w:t>
      </w:r>
      <w:r w:rsidR="004C757E" w:rsidRPr="007A3AA1">
        <w:t>cost</w:t>
      </w:r>
      <w:r w:rsidR="00692D56" w:rsidRPr="007A3AA1">
        <w:t>-</w:t>
      </w:r>
      <w:r w:rsidR="004C757E" w:rsidRPr="007A3AA1">
        <w:t>effective</w:t>
      </w:r>
      <w:r w:rsidR="00EB44A3" w:rsidRPr="007A3AA1">
        <w:t>ness</w:t>
      </w:r>
      <w:r w:rsidR="00DF4556" w:rsidRPr="007A3AA1">
        <w:t>.</w:t>
      </w:r>
      <w:r w:rsidR="00181F3F">
        <w:t xml:space="preserve"> </w:t>
      </w:r>
    </w:p>
    <w:p w14:paraId="45CAA425" w14:textId="77777777" w:rsidR="0008119B" w:rsidRDefault="0008119B" w:rsidP="00B43DF3"/>
    <w:p w14:paraId="324BEEA2" w14:textId="2FED32D8" w:rsidR="00E36762" w:rsidRDefault="00222522" w:rsidP="00B43DF3">
      <w:r w:rsidRPr="007A3AA1">
        <w:t>An</w:t>
      </w:r>
      <w:r w:rsidR="006818CE" w:rsidRPr="007A3AA1">
        <w:t xml:space="preserve">other </w:t>
      </w:r>
      <w:r w:rsidRPr="007A3AA1">
        <w:t>strategy</w:t>
      </w:r>
      <w:r w:rsidR="006818CE" w:rsidRPr="007A3AA1">
        <w:t xml:space="preserve"> is to build additional r</w:t>
      </w:r>
      <w:r w:rsidR="00DF4556" w:rsidRPr="007A3AA1">
        <w:t>enewable energy</w:t>
      </w:r>
      <w:r w:rsidR="00EC43F9">
        <w:t>.</w:t>
      </w:r>
      <w:r w:rsidR="00181F3F">
        <w:t xml:space="preserve"> </w:t>
      </w:r>
      <w:r w:rsidR="00824113">
        <w:t xml:space="preserve">New </w:t>
      </w:r>
      <w:r w:rsidR="00D0106D">
        <w:t>r</w:t>
      </w:r>
      <w:r w:rsidR="00EC43F9">
        <w:t xml:space="preserve">enewable generation </w:t>
      </w:r>
      <w:r w:rsidR="0060577A">
        <w:t>could replace coal</w:t>
      </w:r>
      <w:r w:rsidR="00D0106D">
        <w:t xml:space="preserve"> </w:t>
      </w:r>
      <w:r w:rsidR="0060577A">
        <w:t>generation directly</w:t>
      </w:r>
      <w:r w:rsidR="00E36762">
        <w:t>.</w:t>
      </w:r>
      <w:r w:rsidR="0060577A">
        <w:t xml:space="preserve"> </w:t>
      </w:r>
      <w:r w:rsidR="00B37760">
        <w:t xml:space="preserve">Also, </w:t>
      </w:r>
      <w:r w:rsidR="00D0106D">
        <w:t xml:space="preserve">in states with little to no coal generation, </w:t>
      </w:r>
      <w:r w:rsidR="00EC3B8A">
        <w:t>increasing</w:t>
      </w:r>
      <w:r w:rsidR="00B37760">
        <w:t xml:space="preserve"> renewable generation </w:t>
      </w:r>
      <w:r w:rsidR="00D0106D">
        <w:t xml:space="preserve">will be </w:t>
      </w:r>
      <w:r w:rsidR="00786466">
        <w:t>the primary driver of additional emissions reductions.</w:t>
      </w:r>
      <w:r w:rsidR="00181F3F">
        <w:t xml:space="preserve"> </w:t>
      </w:r>
      <w:r w:rsidR="009E1E4C">
        <w:t>The most popular</w:t>
      </w:r>
      <w:r w:rsidR="00786466">
        <w:t xml:space="preserve"> renewable technologies</w:t>
      </w:r>
      <w:r w:rsidR="009E1E4C">
        <w:t>,</w:t>
      </w:r>
      <w:r w:rsidR="00786466">
        <w:t xml:space="preserve"> wind and solar, </w:t>
      </w:r>
      <w:r w:rsidR="009E1E4C">
        <w:t>have</w:t>
      </w:r>
      <w:r w:rsidR="00DF4556" w:rsidRPr="007A3AA1">
        <w:t xml:space="preserve"> become cost-effective in many locations</w:t>
      </w:r>
      <w:r w:rsidR="009E1E4C">
        <w:t xml:space="preserve">, but these </w:t>
      </w:r>
      <w:r w:rsidR="0087594C">
        <w:t>resources</w:t>
      </w:r>
      <w:r w:rsidR="00DF4556" w:rsidRPr="007A3AA1">
        <w:t xml:space="preserve"> are variable and must be balanced with natural gas or energy storage</w:t>
      </w:r>
      <w:r w:rsidR="006A27F7" w:rsidRPr="007A3AA1">
        <w:t xml:space="preserve"> to provide reliability</w:t>
      </w:r>
      <w:r w:rsidR="00DF4556" w:rsidRPr="007A3AA1">
        <w:t>.</w:t>
      </w:r>
      <w:r w:rsidR="00181F3F">
        <w:t xml:space="preserve"> </w:t>
      </w:r>
    </w:p>
    <w:p w14:paraId="16C0CC9C" w14:textId="04DC05DB" w:rsidR="00E36762" w:rsidRDefault="00E36762" w:rsidP="00B43DF3"/>
    <w:p w14:paraId="35EE4BC8" w14:textId="0319CFAB" w:rsidR="005F7C99" w:rsidRDefault="00533534" w:rsidP="00B43DF3">
      <w:r w:rsidRPr="007A3AA1">
        <w:t>Ultimately</w:t>
      </w:r>
      <w:r w:rsidR="00222522" w:rsidRPr="007A3AA1">
        <w:t>, a combination of these two strategies</w:t>
      </w:r>
      <w:r w:rsidR="002F1FE2">
        <w:t>, which</w:t>
      </w:r>
      <w:r w:rsidR="001674AC">
        <w:t xml:space="preserve"> </w:t>
      </w:r>
      <w:r w:rsidR="00222522" w:rsidRPr="007A3AA1">
        <w:t xml:space="preserve">balances </w:t>
      </w:r>
      <w:r w:rsidR="002F1FE2">
        <w:t xml:space="preserve">the </w:t>
      </w:r>
      <w:r w:rsidR="00222522" w:rsidRPr="007A3AA1">
        <w:t xml:space="preserve">risks and advantages </w:t>
      </w:r>
      <w:r w:rsidR="002F1FE2">
        <w:t xml:space="preserve">of each, </w:t>
      </w:r>
      <w:r w:rsidRPr="007A3AA1">
        <w:t xml:space="preserve">is the </w:t>
      </w:r>
      <w:r w:rsidR="004D77E9" w:rsidRPr="007A3AA1">
        <w:t>likely path forward for utilities.</w:t>
      </w:r>
      <w:r w:rsidR="00181F3F">
        <w:t xml:space="preserve"> </w:t>
      </w:r>
      <w:r w:rsidR="00DF4556" w:rsidRPr="007A3AA1">
        <w:t xml:space="preserve">To understand </w:t>
      </w:r>
      <w:r w:rsidR="004D77E9" w:rsidRPr="007A3AA1">
        <w:t>how utilities are approaching these strategies</w:t>
      </w:r>
      <w:r w:rsidR="00DF4556" w:rsidRPr="007A3AA1">
        <w:t>, we examined the IRPs of several major utilities. The results of this analysis are discussed in the next section.</w:t>
      </w:r>
    </w:p>
    <w:p w14:paraId="4A054AC9" w14:textId="4884B65D" w:rsidR="00AD6BDA" w:rsidRPr="00AD6BDA" w:rsidRDefault="00B43DF3" w:rsidP="00B43DF3">
      <w:pPr>
        <w:pStyle w:val="MinorLeft"/>
        <w:rPr>
          <w:rFonts w:eastAsia="Calibri"/>
        </w:rPr>
      </w:pPr>
      <w:r w:rsidRPr="00AD6BDA">
        <w:rPr>
          <w:rFonts w:eastAsia="Calibri"/>
        </w:rPr>
        <w:t xml:space="preserve">The Future </w:t>
      </w:r>
      <w:r>
        <w:rPr>
          <w:rFonts w:eastAsia="Calibri"/>
        </w:rPr>
        <w:t>o</w:t>
      </w:r>
      <w:r w:rsidRPr="00AD6BDA">
        <w:rPr>
          <w:rFonts w:eastAsia="Calibri"/>
        </w:rPr>
        <w:t>f Decarbonizing Electricity</w:t>
      </w:r>
    </w:p>
    <w:p w14:paraId="17855CEC" w14:textId="4643EE63" w:rsidR="00AD6BDA" w:rsidRPr="00AD6BDA" w:rsidRDefault="00AD6BDA" w:rsidP="00B43DF3">
      <w:pPr>
        <w:rPr>
          <w:rFonts w:eastAsia="Calibri"/>
        </w:rPr>
      </w:pPr>
      <w:r w:rsidRPr="00AD6BDA">
        <w:rPr>
          <w:rFonts w:eastAsia="Calibri"/>
        </w:rPr>
        <w:t xml:space="preserve">ScottMadden reviewed </w:t>
      </w:r>
      <w:r w:rsidR="00D82ACC">
        <w:rPr>
          <w:rFonts w:eastAsia="Calibri"/>
        </w:rPr>
        <w:t xml:space="preserve">a sample set of </w:t>
      </w:r>
      <w:r w:rsidRPr="00AD6BDA">
        <w:rPr>
          <w:rFonts w:eastAsia="Calibri"/>
        </w:rPr>
        <w:t xml:space="preserve">utility announcements and IRPs to understand </w:t>
      </w:r>
      <w:r w:rsidR="00F33DED">
        <w:rPr>
          <w:rFonts w:eastAsia="Calibri"/>
        </w:rPr>
        <w:t>these utilit</w:t>
      </w:r>
      <w:r w:rsidR="003B795C">
        <w:rPr>
          <w:rFonts w:eastAsia="Calibri"/>
        </w:rPr>
        <w:t>ies’</w:t>
      </w:r>
      <w:r w:rsidR="00F33DED">
        <w:rPr>
          <w:rFonts w:eastAsia="Calibri"/>
        </w:rPr>
        <w:t xml:space="preserve"> </w:t>
      </w:r>
      <w:r w:rsidRPr="00AD6BDA">
        <w:rPr>
          <w:rFonts w:eastAsia="Calibri"/>
        </w:rPr>
        <w:t>decarbonization strategies.</w:t>
      </w:r>
      <w:r w:rsidR="00181F3F">
        <w:rPr>
          <w:rFonts w:eastAsia="Calibri"/>
        </w:rPr>
        <w:t xml:space="preserve"> </w:t>
      </w:r>
      <w:r w:rsidRPr="00AD6BDA">
        <w:rPr>
          <w:rFonts w:eastAsia="Calibri"/>
        </w:rPr>
        <w:t>Since 2018, a growing number of electric utilities have announced ambitious plans to achieve 100% clean energy by 2050 or sooner.</w:t>
      </w:r>
      <w:r w:rsidR="00181F3F">
        <w:rPr>
          <w:rFonts w:eastAsia="Calibri"/>
        </w:rPr>
        <w:t xml:space="preserve"> </w:t>
      </w:r>
      <w:r w:rsidRPr="00AD6BDA">
        <w:rPr>
          <w:rFonts w:eastAsia="Calibri"/>
        </w:rPr>
        <w:t>Many initial announcements provided limited details on resource selection, costs, or impacts on reliability. More recently, several investor-owned utilities</w:t>
      </w:r>
      <w:r w:rsidR="00FE5EA6">
        <w:rPr>
          <w:rFonts w:eastAsia="Calibri"/>
        </w:rPr>
        <w:t>,</w:t>
      </w:r>
      <w:r w:rsidRPr="00AD6BDA">
        <w:rPr>
          <w:rFonts w:eastAsia="Calibri"/>
        </w:rPr>
        <w:t xml:space="preserve"> </w:t>
      </w:r>
      <w:r w:rsidR="00FE5EA6">
        <w:rPr>
          <w:rFonts w:eastAsia="Calibri"/>
        </w:rPr>
        <w:t xml:space="preserve">which </w:t>
      </w:r>
      <w:r w:rsidRPr="00AD6BDA">
        <w:rPr>
          <w:rFonts w:eastAsia="Calibri"/>
        </w:rPr>
        <w:t>have committed to 100% clean energy</w:t>
      </w:r>
      <w:r w:rsidR="00FE5EA6">
        <w:rPr>
          <w:rFonts w:eastAsia="Calibri"/>
        </w:rPr>
        <w:t>,</w:t>
      </w:r>
      <w:r w:rsidR="00637F8A">
        <w:rPr>
          <w:rFonts w:eastAsia="Calibri"/>
        </w:rPr>
        <w:t xml:space="preserve"> filed</w:t>
      </w:r>
      <w:r w:rsidRPr="00AD6BDA">
        <w:rPr>
          <w:rFonts w:eastAsia="Calibri"/>
        </w:rPr>
        <w:t xml:space="preserve"> IRPs detailing how they plan to pursue decarbonization pathways over the next 15 years.</w:t>
      </w:r>
    </w:p>
    <w:p w14:paraId="724A7DBB" w14:textId="77777777" w:rsidR="00AD6BDA" w:rsidRPr="00AD6BDA" w:rsidRDefault="00AD6BDA" w:rsidP="00B43DF3">
      <w:pPr>
        <w:rPr>
          <w:rFonts w:eastAsia="Calibri"/>
          <w:b/>
          <w:bCs/>
        </w:rPr>
      </w:pPr>
    </w:p>
    <w:p w14:paraId="2EC67163" w14:textId="0BED5ADC" w:rsidR="00AD6BDA" w:rsidRPr="00AD6BDA" w:rsidRDefault="00AD6BDA" w:rsidP="00B43DF3">
      <w:pPr>
        <w:rPr>
          <w:rFonts w:eastAsia="Calibri"/>
        </w:rPr>
      </w:pPr>
      <w:r w:rsidRPr="00AD6BDA">
        <w:rPr>
          <w:rFonts w:eastAsia="Calibri"/>
        </w:rPr>
        <w:t>ScottMadden reviewed IRPs from five of these utilities to identify common themes and strategies that may provide a roadmap or some pointers to other electric utilities considering carbon</w:t>
      </w:r>
      <w:r w:rsidR="002F1FE2">
        <w:rPr>
          <w:rFonts w:eastAsia="Calibri"/>
        </w:rPr>
        <w:t>-</w:t>
      </w:r>
      <w:r w:rsidRPr="00AD6BDA">
        <w:rPr>
          <w:rFonts w:eastAsia="Calibri"/>
        </w:rPr>
        <w:t>reduction goals or strategies.</w:t>
      </w:r>
      <w:r w:rsidR="00181F3F">
        <w:rPr>
          <w:rFonts w:eastAsia="Calibri"/>
        </w:rPr>
        <w:t xml:space="preserve"> </w:t>
      </w:r>
      <w:r w:rsidRPr="00AD6BDA">
        <w:rPr>
          <w:rFonts w:eastAsia="Calibri"/>
        </w:rPr>
        <w:t>More specifically, ScottMadden reviewed IRPs from the following vertically integrated, investor-owned utilities:</w:t>
      </w:r>
    </w:p>
    <w:p w14:paraId="0DF89F96" w14:textId="77777777" w:rsidR="00AD6BDA" w:rsidRPr="00AD6BDA" w:rsidRDefault="00AD6BDA" w:rsidP="00AD6BDA">
      <w:pPr>
        <w:jc w:val="left"/>
        <w:rPr>
          <w:rFonts w:eastAsia="Calibri" w:cs="Arial"/>
        </w:rPr>
      </w:pPr>
    </w:p>
    <w:p w14:paraId="160EEEF3" w14:textId="2BC35588" w:rsidR="00AD6BDA" w:rsidRPr="00AD6BDA" w:rsidRDefault="00AD6BDA" w:rsidP="00B43DF3">
      <w:pPr>
        <w:pStyle w:val="Level1Bullet"/>
        <w:rPr>
          <w:rFonts w:eastAsia="Calibri"/>
        </w:rPr>
      </w:pPr>
      <w:r w:rsidRPr="00AD6BDA">
        <w:rPr>
          <w:rFonts w:eastAsia="Calibri"/>
        </w:rPr>
        <w:t xml:space="preserve">Xcel Energy Inc.’s Northern States Power Company, covering its </w:t>
      </w:r>
      <w:r w:rsidR="00FE5EA6">
        <w:rPr>
          <w:rFonts w:eastAsia="Calibri"/>
        </w:rPr>
        <w:t>u</w:t>
      </w:r>
      <w:r w:rsidRPr="00AD6BDA">
        <w:rPr>
          <w:rFonts w:eastAsia="Calibri"/>
        </w:rPr>
        <w:t>pper Midwest service territory in Michigan, Minnesota, North Dakota, South Dakota, and Wisconsin</w:t>
      </w:r>
    </w:p>
    <w:p w14:paraId="55F18F42" w14:textId="7FB5114D" w:rsidR="00AD6BDA" w:rsidRPr="00AD6BDA" w:rsidRDefault="00AD6BDA" w:rsidP="00B43DF3">
      <w:pPr>
        <w:pStyle w:val="Level1Bullet"/>
        <w:rPr>
          <w:rFonts w:eastAsia="Calibri"/>
        </w:rPr>
      </w:pPr>
      <w:r w:rsidRPr="00AD6BDA">
        <w:rPr>
          <w:rFonts w:eastAsia="Calibri"/>
        </w:rPr>
        <w:t>Arizona Public Service Company (APS), covering its Arizona service territory</w:t>
      </w:r>
    </w:p>
    <w:p w14:paraId="2F11AC8C" w14:textId="77777777" w:rsidR="00AD6BDA" w:rsidRPr="00AD6BDA" w:rsidRDefault="00AD6BDA" w:rsidP="00B43DF3">
      <w:pPr>
        <w:pStyle w:val="Level1Bullet"/>
        <w:rPr>
          <w:rFonts w:eastAsia="Calibri"/>
        </w:rPr>
      </w:pPr>
      <w:r w:rsidRPr="00AD6BDA">
        <w:rPr>
          <w:rFonts w:eastAsia="Calibri"/>
        </w:rPr>
        <w:t>Duke Energy Carolinas and Duke Energy Progress (collectively Duke Energy), covering their North Carolina and South Carolina service territories</w:t>
      </w:r>
    </w:p>
    <w:p w14:paraId="54153AF8" w14:textId="6065C170" w:rsidR="00AD6BDA" w:rsidRDefault="00AD6BDA" w:rsidP="00B43DF3">
      <w:pPr>
        <w:pStyle w:val="Level1Bullet"/>
        <w:rPr>
          <w:rFonts w:eastAsia="Calibri"/>
        </w:rPr>
      </w:pPr>
      <w:r w:rsidRPr="00AD6BDA">
        <w:rPr>
          <w:rFonts w:eastAsia="Calibri"/>
        </w:rPr>
        <w:t>Dominion Energy’s Virginia Electric and Power Company, covering its Virginia service territory</w:t>
      </w:r>
    </w:p>
    <w:p w14:paraId="4D841A34" w14:textId="77777777" w:rsidR="00AD6BDA" w:rsidRPr="00AD6BDA" w:rsidRDefault="00AD6BDA" w:rsidP="00AD6BDA">
      <w:pPr>
        <w:ind w:left="720"/>
        <w:contextualSpacing/>
        <w:jc w:val="left"/>
        <w:rPr>
          <w:rFonts w:eastAsia="Calibri" w:cs="Arial"/>
        </w:rPr>
      </w:pPr>
      <w:r w:rsidRPr="00AD6BDA">
        <w:rPr>
          <w:rFonts w:eastAsia="Calibri" w:cs="Arial"/>
        </w:rPr>
        <w:t xml:space="preserve"> </w:t>
      </w:r>
    </w:p>
    <w:p w14:paraId="5FEE1C1F" w14:textId="77777777" w:rsidR="00AD6BDA" w:rsidRDefault="00AD6BDA" w:rsidP="00B43DF3">
      <w:pPr>
        <w:rPr>
          <w:rFonts w:eastAsia="Calibri"/>
        </w:rPr>
      </w:pPr>
      <w:r w:rsidRPr="00AD6BDA">
        <w:rPr>
          <w:rFonts w:eastAsia="Calibri"/>
        </w:rPr>
        <w:t>Each IRP was published after the parent company announced a commitment to achieving 100% clean energy. In Virginia, Dominion Energy is also subject to a state law requiring 100% clean energy.</w:t>
      </w:r>
    </w:p>
    <w:p w14:paraId="4CB9CC4B" w14:textId="77777777" w:rsidR="00AD6BDA" w:rsidRPr="00AD6BDA" w:rsidRDefault="00AD6BDA" w:rsidP="00B43DF3">
      <w:pPr>
        <w:rPr>
          <w:rFonts w:eastAsia="Calibri"/>
        </w:rPr>
      </w:pPr>
    </w:p>
    <w:p w14:paraId="0EDF3CD4" w14:textId="366DC6EF" w:rsidR="00AD6BDA" w:rsidRDefault="00AD6BDA" w:rsidP="00B43DF3">
      <w:pPr>
        <w:rPr>
          <w:rFonts w:eastAsia="Calibri"/>
        </w:rPr>
      </w:pPr>
      <w:r w:rsidRPr="00AD6BDA">
        <w:rPr>
          <w:rFonts w:eastAsia="Calibri"/>
        </w:rPr>
        <w:t xml:space="preserve">A clear focus across all IRPs is </w:t>
      </w:r>
      <w:r w:rsidR="00271D30">
        <w:rPr>
          <w:rFonts w:eastAsia="Calibri"/>
        </w:rPr>
        <w:t>the</w:t>
      </w:r>
      <w:r w:rsidR="00271D30" w:rsidRPr="00AD6BDA">
        <w:rPr>
          <w:rFonts w:eastAsia="Calibri"/>
        </w:rPr>
        <w:t xml:space="preserve"> </w:t>
      </w:r>
      <w:r w:rsidRPr="00AD6BDA">
        <w:rPr>
          <w:rFonts w:eastAsia="Calibri"/>
        </w:rPr>
        <w:t>intent to significantly expand renewable energy and battery storage capacity. </w:t>
      </w:r>
      <w:proofErr w:type="gramStart"/>
      <w:r w:rsidRPr="00AD6BDA">
        <w:rPr>
          <w:rFonts w:eastAsia="Calibri"/>
        </w:rPr>
        <w:t>The majority of</w:t>
      </w:r>
      <w:proofErr w:type="gramEnd"/>
      <w:r w:rsidRPr="00AD6BDA">
        <w:rPr>
          <w:rFonts w:eastAsia="Calibri"/>
        </w:rPr>
        <w:t xml:space="preserve"> capacity additions are planned in later years, thereby allowing technology costs to continue to decline.</w:t>
      </w:r>
      <w:r w:rsidR="00181F3F">
        <w:rPr>
          <w:rFonts w:eastAsia="Calibri"/>
        </w:rPr>
        <w:t xml:space="preserve"> </w:t>
      </w:r>
      <w:r w:rsidRPr="00AD6BDA">
        <w:rPr>
          <w:rFonts w:eastAsia="Calibri"/>
        </w:rPr>
        <w:t>The expansion of renewables and storage was a key trend across the five utilities and, when provided, across scenarios within individual IRPs.</w:t>
      </w:r>
    </w:p>
    <w:p w14:paraId="2C7591EC" w14:textId="77777777" w:rsidR="00F86097" w:rsidRDefault="00F86097" w:rsidP="00B43DF3">
      <w:pPr>
        <w:rPr>
          <w:rFonts w:eastAsia="Calibri"/>
        </w:rPr>
      </w:pPr>
    </w:p>
    <w:p w14:paraId="56F6ACEF" w14:textId="004F0A95" w:rsidR="00AD6BDA" w:rsidRDefault="00AD6BDA" w:rsidP="00B43DF3">
      <w:pPr>
        <w:rPr>
          <w:rFonts w:eastAsia="Calibri"/>
        </w:rPr>
      </w:pPr>
      <w:r w:rsidRPr="00AD6BDA">
        <w:rPr>
          <w:rFonts w:eastAsia="Calibri"/>
        </w:rPr>
        <w:t xml:space="preserve">The renewable energy and storage </w:t>
      </w:r>
      <w:proofErr w:type="gramStart"/>
      <w:r w:rsidRPr="00AD6BDA">
        <w:rPr>
          <w:rFonts w:eastAsia="Calibri"/>
        </w:rPr>
        <w:t>build</w:t>
      </w:r>
      <w:r w:rsidR="00F86097">
        <w:rPr>
          <w:rFonts w:eastAsia="Calibri"/>
        </w:rPr>
        <w:t>-</w:t>
      </w:r>
      <w:r w:rsidRPr="00AD6BDA">
        <w:rPr>
          <w:rFonts w:eastAsia="Calibri"/>
        </w:rPr>
        <w:t>outs</w:t>
      </w:r>
      <w:proofErr w:type="gramEnd"/>
      <w:r w:rsidRPr="00AD6BDA">
        <w:rPr>
          <w:rFonts w:eastAsia="Calibri"/>
        </w:rPr>
        <w:t xml:space="preserve"> will cost electric customers more than new natural gas-fired generation. However, expected cost increases are </w:t>
      </w:r>
      <w:r w:rsidR="001D6CDD">
        <w:rPr>
          <w:rFonts w:eastAsia="Calibri"/>
        </w:rPr>
        <w:t xml:space="preserve">generally </w:t>
      </w:r>
      <w:r w:rsidRPr="00AD6BDA">
        <w:rPr>
          <w:rFonts w:eastAsia="Calibri"/>
        </w:rPr>
        <w:t>below the utilities’ projected rate of inflation over the planning periods.</w:t>
      </w:r>
    </w:p>
    <w:p w14:paraId="7355A734" w14:textId="77777777" w:rsidR="00FE5EA6" w:rsidRDefault="00FE5EA6" w:rsidP="00B43DF3">
      <w:pPr>
        <w:rPr>
          <w:rFonts w:eastAsia="Calibri"/>
        </w:rPr>
      </w:pPr>
    </w:p>
    <w:p w14:paraId="6D883BA0" w14:textId="4276A047" w:rsidR="00AD6BDA" w:rsidRDefault="00AD6BDA" w:rsidP="00B43DF3">
      <w:pPr>
        <w:rPr>
          <w:rFonts w:eastAsia="Calibri"/>
        </w:rPr>
      </w:pPr>
      <w:r w:rsidRPr="00AD6BDA">
        <w:rPr>
          <w:rFonts w:eastAsia="Calibri"/>
        </w:rPr>
        <w:t xml:space="preserve">The following table provides a summary of the renewable and storage additions, as well </w:t>
      </w:r>
      <w:r w:rsidR="00F86097">
        <w:rPr>
          <w:rFonts w:eastAsia="Calibri"/>
        </w:rPr>
        <w:t xml:space="preserve">as </w:t>
      </w:r>
      <w:r w:rsidRPr="00AD6BDA">
        <w:rPr>
          <w:rFonts w:eastAsia="Calibri"/>
        </w:rPr>
        <w:t>projected cost impacts found in our sampling of IRPs.</w:t>
      </w:r>
    </w:p>
    <w:p w14:paraId="1E646236" w14:textId="04ADDDBB" w:rsidR="00AD6BDA" w:rsidRDefault="00AD6BDA" w:rsidP="00AD6BDA">
      <w:pPr>
        <w:jc w:val="left"/>
        <w:rPr>
          <w:rFonts w:eastAsia="Calibri" w:cs="Arial"/>
        </w:rPr>
      </w:pPr>
    </w:p>
    <w:p w14:paraId="1D201059" w14:textId="4E3DE5FA" w:rsidR="009B7D20" w:rsidRDefault="009B7D20">
      <w:pPr>
        <w:jc w:val="left"/>
        <w:rPr>
          <w:rFonts w:eastAsia="Calibri" w:cs="Arial"/>
        </w:rPr>
      </w:pPr>
      <w:r>
        <w:rPr>
          <w:rFonts w:eastAsia="Calibri" w:cs="Arial"/>
        </w:rPr>
        <w:br w:type="page"/>
      </w:r>
    </w:p>
    <w:tbl>
      <w:tblPr>
        <w:tblW w:w="9962" w:type="dxa"/>
        <w:jc w:val="center"/>
        <w:tblCellMar>
          <w:left w:w="0" w:type="dxa"/>
          <w:right w:w="0" w:type="dxa"/>
        </w:tblCellMar>
        <w:tblLook w:val="0400" w:firstRow="0" w:lastRow="0" w:firstColumn="0" w:lastColumn="0" w:noHBand="0" w:noVBand="1"/>
      </w:tblPr>
      <w:tblGrid>
        <w:gridCol w:w="1219"/>
        <w:gridCol w:w="1658"/>
        <w:gridCol w:w="2333"/>
        <w:gridCol w:w="2304"/>
        <w:gridCol w:w="2448"/>
      </w:tblGrid>
      <w:tr w:rsidR="00360622" w:rsidRPr="00360622" w14:paraId="5F6A0179" w14:textId="77777777" w:rsidTr="00360622">
        <w:trPr>
          <w:trHeight w:val="288"/>
          <w:jc w:val="center"/>
        </w:trPr>
        <w:tc>
          <w:tcPr>
            <w:tcW w:w="9962" w:type="dxa"/>
            <w:gridSpan w:val="5"/>
            <w:tcBorders>
              <w:top w:val="single" w:sz="8" w:space="0" w:color="FFFFFF"/>
              <w:left w:val="single" w:sz="8" w:space="0" w:color="FFFFFF"/>
              <w:bottom w:val="single" w:sz="8" w:space="0" w:color="FFFFFF"/>
              <w:right w:val="single" w:sz="8" w:space="0" w:color="FFFFFF"/>
            </w:tcBorders>
            <w:shd w:val="clear" w:color="auto" w:fill="26BCD7" w:themeFill="accent2"/>
            <w:tcMar>
              <w:top w:w="72" w:type="dxa"/>
              <w:left w:w="144" w:type="dxa"/>
              <w:bottom w:w="72" w:type="dxa"/>
              <w:right w:w="144" w:type="dxa"/>
            </w:tcMar>
            <w:vAlign w:val="bottom"/>
          </w:tcPr>
          <w:p w14:paraId="2E0DB874" w14:textId="2A436F95" w:rsidR="00360622" w:rsidRPr="00360622" w:rsidRDefault="00360622" w:rsidP="00360622">
            <w:pPr>
              <w:jc w:val="center"/>
              <w:rPr>
                <w:rFonts w:eastAsia="Calibri" w:cs="Arial"/>
                <w:b/>
                <w:bCs/>
                <w:color w:val="FFFFFF" w:themeColor="background1"/>
                <w:sz w:val="20"/>
                <w:szCs w:val="20"/>
              </w:rPr>
            </w:pPr>
            <w:r w:rsidRPr="00360622">
              <w:rPr>
                <w:rFonts w:eastAsia="Calibri" w:cs="Arial"/>
                <w:b/>
                <w:bCs/>
                <w:color w:val="FFFFFF" w:themeColor="background1"/>
                <w:sz w:val="20"/>
                <w:szCs w:val="20"/>
              </w:rPr>
              <w:t>Key Findings from Recent 100% Clean Energy IRPs</w:t>
            </w:r>
          </w:p>
        </w:tc>
      </w:tr>
      <w:tr w:rsidR="00865E25" w:rsidRPr="00B43DF3" w14:paraId="4AD053A8" w14:textId="77777777" w:rsidTr="00360622">
        <w:trPr>
          <w:trHeight w:val="20"/>
          <w:jc w:val="center"/>
        </w:trPr>
        <w:tc>
          <w:tcPr>
            <w:tcW w:w="1219" w:type="dxa"/>
            <w:vMerge w:val="restart"/>
            <w:tcBorders>
              <w:top w:val="single" w:sz="8" w:space="0" w:color="FFFFFF"/>
              <w:left w:val="single" w:sz="8" w:space="0" w:color="FFFFFF"/>
              <w:bottom w:val="single" w:sz="8" w:space="0" w:color="FFFFFF"/>
              <w:right w:val="single" w:sz="8" w:space="0" w:color="FFFFFF"/>
            </w:tcBorders>
            <w:shd w:val="clear" w:color="auto" w:fill="5E5F62"/>
            <w:tcMar>
              <w:top w:w="72" w:type="dxa"/>
              <w:left w:w="144" w:type="dxa"/>
              <w:bottom w:w="72" w:type="dxa"/>
              <w:right w:w="144" w:type="dxa"/>
            </w:tcMar>
            <w:vAlign w:val="bottom"/>
            <w:hideMark/>
          </w:tcPr>
          <w:p w14:paraId="21F8F837" w14:textId="77777777" w:rsidR="00865E25" w:rsidRPr="00B43DF3" w:rsidRDefault="00865E25" w:rsidP="00865E25">
            <w:pPr>
              <w:jc w:val="center"/>
              <w:rPr>
                <w:rFonts w:eastAsia="Calibri" w:cs="Arial"/>
                <w:color w:val="FFFFFF"/>
                <w:sz w:val="20"/>
                <w:szCs w:val="20"/>
              </w:rPr>
            </w:pPr>
            <w:r w:rsidRPr="00B43DF3">
              <w:rPr>
                <w:rFonts w:eastAsia="Calibri" w:cs="Arial"/>
                <w:b/>
                <w:bCs/>
                <w:color w:val="FFFFFF"/>
                <w:sz w:val="20"/>
                <w:szCs w:val="20"/>
              </w:rPr>
              <w:t>Utility</w:t>
            </w:r>
          </w:p>
        </w:tc>
        <w:tc>
          <w:tcPr>
            <w:tcW w:w="1658" w:type="dxa"/>
            <w:vMerge w:val="restart"/>
            <w:tcBorders>
              <w:top w:val="single" w:sz="8" w:space="0" w:color="FFFFFF"/>
              <w:left w:val="single" w:sz="8" w:space="0" w:color="FFFFFF"/>
              <w:bottom w:val="single" w:sz="8" w:space="0" w:color="FFFFFF"/>
              <w:right w:val="single" w:sz="8" w:space="0" w:color="FFFFFF"/>
            </w:tcBorders>
            <w:shd w:val="clear" w:color="auto" w:fill="5E5F62"/>
            <w:tcMar>
              <w:top w:w="72" w:type="dxa"/>
              <w:left w:w="144" w:type="dxa"/>
              <w:bottom w:w="72" w:type="dxa"/>
              <w:right w:w="144" w:type="dxa"/>
            </w:tcMar>
            <w:vAlign w:val="bottom"/>
            <w:hideMark/>
          </w:tcPr>
          <w:p w14:paraId="675726FA" w14:textId="77777777" w:rsidR="00865E25" w:rsidRPr="00B43DF3" w:rsidRDefault="00865E25" w:rsidP="00865E25">
            <w:pPr>
              <w:jc w:val="center"/>
              <w:rPr>
                <w:rFonts w:eastAsia="Calibri" w:cs="Arial"/>
                <w:color w:val="FFFFFF"/>
                <w:sz w:val="20"/>
                <w:szCs w:val="20"/>
              </w:rPr>
            </w:pPr>
            <w:r w:rsidRPr="00B43DF3">
              <w:rPr>
                <w:rFonts w:eastAsia="Calibri" w:cs="Arial"/>
                <w:b/>
                <w:bCs/>
                <w:color w:val="FFFFFF"/>
                <w:sz w:val="20"/>
                <w:szCs w:val="20"/>
              </w:rPr>
              <w:t>Carbon Target</w:t>
            </w:r>
          </w:p>
        </w:tc>
        <w:tc>
          <w:tcPr>
            <w:tcW w:w="7085" w:type="dxa"/>
            <w:gridSpan w:val="3"/>
            <w:tcBorders>
              <w:top w:val="single" w:sz="8" w:space="0" w:color="FFFFFF"/>
              <w:left w:val="single" w:sz="8" w:space="0" w:color="FFFFFF"/>
              <w:bottom w:val="single" w:sz="8" w:space="0" w:color="FFFFFF"/>
              <w:right w:val="single" w:sz="8" w:space="0" w:color="FFFFFF"/>
            </w:tcBorders>
            <w:shd w:val="clear" w:color="auto" w:fill="5E5F62"/>
            <w:tcMar>
              <w:top w:w="72" w:type="dxa"/>
              <w:left w:w="144" w:type="dxa"/>
              <w:bottom w:w="72" w:type="dxa"/>
              <w:right w:w="144" w:type="dxa"/>
            </w:tcMar>
            <w:vAlign w:val="center"/>
            <w:hideMark/>
          </w:tcPr>
          <w:p w14:paraId="157F2C39" w14:textId="0B3DFF8E" w:rsidR="00865E25" w:rsidRPr="00B43DF3" w:rsidRDefault="00865E25" w:rsidP="00865E25">
            <w:pPr>
              <w:jc w:val="center"/>
              <w:rPr>
                <w:rFonts w:eastAsia="Calibri" w:cs="Arial"/>
                <w:color w:val="FFFFFF"/>
                <w:sz w:val="20"/>
                <w:szCs w:val="20"/>
              </w:rPr>
            </w:pPr>
            <w:r w:rsidRPr="00B43DF3">
              <w:rPr>
                <w:rFonts w:eastAsia="Calibri" w:cs="Arial"/>
                <w:b/>
                <w:bCs/>
                <w:color w:val="FFFFFF"/>
                <w:sz w:val="20"/>
                <w:szCs w:val="20"/>
              </w:rPr>
              <w:t>Results for Least-Cost Decarbonization Scenario</w:t>
            </w:r>
          </w:p>
        </w:tc>
      </w:tr>
      <w:tr w:rsidR="00AD6BDA" w:rsidRPr="00B43DF3" w14:paraId="4F691B5A" w14:textId="77777777" w:rsidTr="00360622">
        <w:trPr>
          <w:trHeight w:val="144"/>
          <w:jc w:val="center"/>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352642C7" w14:textId="77777777" w:rsidR="00AD6BDA" w:rsidRPr="00B43DF3" w:rsidRDefault="00AD6BDA" w:rsidP="00865E25">
            <w:pPr>
              <w:jc w:val="left"/>
              <w:rPr>
                <w:rFonts w:eastAsia="Calibri" w:cs="Arial"/>
                <w:color w:val="FFFFFF"/>
                <w:sz w:val="20"/>
                <w:szCs w:val="20"/>
              </w:rPr>
            </w:pPr>
          </w:p>
        </w:tc>
        <w:tc>
          <w:tcPr>
            <w:tcW w:w="1658" w:type="dxa"/>
            <w:vMerge/>
            <w:tcBorders>
              <w:top w:val="single" w:sz="8" w:space="0" w:color="FFFFFF"/>
              <w:left w:val="single" w:sz="8" w:space="0" w:color="FFFFFF"/>
              <w:bottom w:val="single" w:sz="8" w:space="0" w:color="FFFFFF"/>
              <w:right w:val="single" w:sz="8" w:space="0" w:color="FFFFFF"/>
            </w:tcBorders>
            <w:vAlign w:val="center"/>
            <w:hideMark/>
          </w:tcPr>
          <w:p w14:paraId="17DC919B" w14:textId="77777777" w:rsidR="00AD6BDA" w:rsidRPr="00B43DF3" w:rsidRDefault="00AD6BDA" w:rsidP="00865E25">
            <w:pPr>
              <w:jc w:val="left"/>
              <w:rPr>
                <w:rFonts w:eastAsia="Calibri" w:cs="Arial"/>
                <w:color w:val="FFFFFF"/>
                <w:sz w:val="20"/>
                <w:szCs w:val="20"/>
              </w:rPr>
            </w:pPr>
          </w:p>
        </w:tc>
        <w:tc>
          <w:tcPr>
            <w:tcW w:w="2333" w:type="dxa"/>
            <w:tcBorders>
              <w:top w:val="single" w:sz="8" w:space="0" w:color="FFFFFF"/>
              <w:left w:val="single" w:sz="8" w:space="0" w:color="FFFFFF"/>
              <w:bottom w:val="single" w:sz="8" w:space="0" w:color="FFFFFF"/>
              <w:right w:val="single" w:sz="8" w:space="0" w:color="FFFFFF"/>
            </w:tcBorders>
            <w:shd w:val="clear" w:color="auto" w:fill="5E5F62"/>
            <w:tcMar>
              <w:top w:w="72" w:type="dxa"/>
              <w:left w:w="144" w:type="dxa"/>
              <w:bottom w:w="72" w:type="dxa"/>
              <w:right w:w="144" w:type="dxa"/>
            </w:tcMar>
            <w:vAlign w:val="center"/>
            <w:hideMark/>
          </w:tcPr>
          <w:p w14:paraId="03CA9B76" w14:textId="77777777" w:rsidR="00AD6BDA" w:rsidRPr="00B43DF3" w:rsidRDefault="00AD6BDA" w:rsidP="00865E25">
            <w:pPr>
              <w:jc w:val="center"/>
              <w:rPr>
                <w:rFonts w:eastAsia="Calibri" w:cs="Arial"/>
                <w:color w:val="FFFFFF"/>
                <w:sz w:val="20"/>
                <w:szCs w:val="20"/>
              </w:rPr>
            </w:pPr>
            <w:r w:rsidRPr="00B43DF3">
              <w:rPr>
                <w:rFonts w:eastAsia="Calibri" w:cs="Arial"/>
                <w:b/>
                <w:bCs/>
                <w:color w:val="FFFFFF"/>
                <w:sz w:val="20"/>
                <w:szCs w:val="20"/>
              </w:rPr>
              <w:t>Renewable Additions</w:t>
            </w:r>
          </w:p>
        </w:tc>
        <w:tc>
          <w:tcPr>
            <w:tcW w:w="2304" w:type="dxa"/>
            <w:tcBorders>
              <w:top w:val="single" w:sz="8" w:space="0" w:color="FFFFFF"/>
              <w:left w:val="single" w:sz="8" w:space="0" w:color="FFFFFF"/>
              <w:bottom w:val="single" w:sz="8" w:space="0" w:color="FFFFFF"/>
              <w:right w:val="single" w:sz="8" w:space="0" w:color="FFFFFF"/>
            </w:tcBorders>
            <w:shd w:val="clear" w:color="auto" w:fill="5E5F62"/>
            <w:tcMar>
              <w:top w:w="72" w:type="dxa"/>
              <w:left w:w="144" w:type="dxa"/>
              <w:bottom w:w="72" w:type="dxa"/>
              <w:right w:w="144" w:type="dxa"/>
            </w:tcMar>
            <w:vAlign w:val="center"/>
            <w:hideMark/>
          </w:tcPr>
          <w:p w14:paraId="0EBAC188" w14:textId="77777777" w:rsidR="00AD6BDA" w:rsidRPr="00B43DF3" w:rsidRDefault="00AD6BDA" w:rsidP="00865E25">
            <w:pPr>
              <w:jc w:val="center"/>
              <w:rPr>
                <w:rFonts w:eastAsia="Calibri" w:cs="Arial"/>
                <w:color w:val="FFFFFF"/>
                <w:sz w:val="20"/>
                <w:szCs w:val="20"/>
              </w:rPr>
            </w:pPr>
            <w:r w:rsidRPr="00B43DF3">
              <w:rPr>
                <w:rFonts w:eastAsia="Calibri" w:cs="Arial"/>
                <w:b/>
                <w:bCs/>
                <w:color w:val="FFFFFF"/>
                <w:sz w:val="20"/>
                <w:szCs w:val="20"/>
              </w:rPr>
              <w:t>Storage Additions</w:t>
            </w:r>
          </w:p>
        </w:tc>
        <w:tc>
          <w:tcPr>
            <w:tcW w:w="2448" w:type="dxa"/>
            <w:tcBorders>
              <w:top w:val="single" w:sz="8" w:space="0" w:color="FFFFFF"/>
              <w:left w:val="single" w:sz="8" w:space="0" w:color="FFFFFF"/>
              <w:bottom w:val="single" w:sz="8" w:space="0" w:color="FFFFFF"/>
              <w:right w:val="single" w:sz="8" w:space="0" w:color="FFFFFF"/>
            </w:tcBorders>
            <w:shd w:val="clear" w:color="auto" w:fill="5E5F62"/>
            <w:tcMar>
              <w:top w:w="72" w:type="dxa"/>
              <w:left w:w="144" w:type="dxa"/>
              <w:bottom w:w="72" w:type="dxa"/>
              <w:right w:w="144" w:type="dxa"/>
            </w:tcMar>
            <w:vAlign w:val="center"/>
            <w:hideMark/>
          </w:tcPr>
          <w:p w14:paraId="2D9F32B5" w14:textId="77777777" w:rsidR="00AD6BDA" w:rsidRPr="00B43DF3" w:rsidRDefault="00AD6BDA" w:rsidP="00865E25">
            <w:pPr>
              <w:jc w:val="center"/>
              <w:rPr>
                <w:rFonts w:eastAsia="Calibri" w:cs="Arial"/>
                <w:color w:val="FFFFFF"/>
                <w:sz w:val="20"/>
                <w:szCs w:val="20"/>
              </w:rPr>
            </w:pPr>
            <w:r w:rsidRPr="00B43DF3">
              <w:rPr>
                <w:rFonts w:eastAsia="Calibri" w:cs="Arial"/>
                <w:b/>
                <w:bCs/>
                <w:color w:val="FFFFFF"/>
                <w:sz w:val="20"/>
                <w:szCs w:val="20"/>
              </w:rPr>
              <w:t>Cost Impacts</w:t>
            </w:r>
          </w:p>
        </w:tc>
      </w:tr>
      <w:tr w:rsidR="00AD6BDA" w:rsidRPr="00B43DF3" w14:paraId="719D44E1" w14:textId="77777777" w:rsidTr="00865E25">
        <w:trPr>
          <w:trHeight w:val="864"/>
          <w:jc w:val="center"/>
        </w:trPr>
        <w:tc>
          <w:tcPr>
            <w:tcW w:w="1219"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hideMark/>
          </w:tcPr>
          <w:p w14:paraId="0E4B1E1F" w14:textId="77777777" w:rsidR="00AD6BDA" w:rsidRPr="00B43DF3" w:rsidRDefault="00AD6BDA" w:rsidP="00865E25">
            <w:pPr>
              <w:jc w:val="left"/>
              <w:rPr>
                <w:rFonts w:eastAsia="Calibri" w:cs="Arial"/>
                <w:sz w:val="20"/>
                <w:szCs w:val="20"/>
              </w:rPr>
            </w:pPr>
            <w:r w:rsidRPr="00B43DF3">
              <w:rPr>
                <w:rFonts w:eastAsia="Calibri" w:cs="Arial"/>
                <w:sz w:val="20"/>
                <w:szCs w:val="20"/>
              </w:rPr>
              <w:t>Xcel Energy</w:t>
            </w:r>
          </w:p>
        </w:tc>
        <w:tc>
          <w:tcPr>
            <w:tcW w:w="1658"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hideMark/>
          </w:tcPr>
          <w:p w14:paraId="72CF373E" w14:textId="77777777" w:rsidR="00AD6BDA" w:rsidRPr="00B43DF3" w:rsidRDefault="00AD6BDA" w:rsidP="00865E25">
            <w:pPr>
              <w:jc w:val="left"/>
              <w:rPr>
                <w:rFonts w:eastAsia="Calibri" w:cs="Arial"/>
                <w:sz w:val="20"/>
                <w:szCs w:val="20"/>
              </w:rPr>
            </w:pPr>
            <w:r w:rsidRPr="00B43DF3">
              <w:rPr>
                <w:rFonts w:eastAsia="Calibri" w:cs="Arial"/>
                <w:sz w:val="20"/>
                <w:szCs w:val="20"/>
              </w:rPr>
              <w:t>100% carbon-free electricity by 2050</w:t>
            </w:r>
          </w:p>
        </w:tc>
        <w:tc>
          <w:tcPr>
            <w:tcW w:w="2333"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hideMark/>
          </w:tcPr>
          <w:p w14:paraId="12873745" w14:textId="2D2F433A" w:rsidR="00AD6BDA" w:rsidRPr="00B43DF3" w:rsidRDefault="00AD6BDA" w:rsidP="00865E25">
            <w:pPr>
              <w:jc w:val="left"/>
              <w:rPr>
                <w:rFonts w:eastAsia="Calibri" w:cs="Arial"/>
                <w:sz w:val="20"/>
                <w:szCs w:val="20"/>
              </w:rPr>
            </w:pPr>
            <w:r w:rsidRPr="00B43DF3">
              <w:rPr>
                <w:rFonts w:eastAsia="Calibri" w:cs="Arial"/>
                <w:sz w:val="20"/>
                <w:szCs w:val="20"/>
              </w:rPr>
              <w:t xml:space="preserve">4,000 </w:t>
            </w:r>
            <w:r w:rsidR="008533D9">
              <w:rPr>
                <w:rFonts w:eastAsia="Calibri" w:cs="Arial"/>
                <w:sz w:val="20"/>
                <w:szCs w:val="20"/>
              </w:rPr>
              <w:t>MWs</w:t>
            </w:r>
            <w:r w:rsidRPr="00B43DF3">
              <w:rPr>
                <w:rFonts w:eastAsia="Calibri" w:cs="Arial"/>
                <w:sz w:val="20"/>
                <w:szCs w:val="20"/>
              </w:rPr>
              <w:t xml:space="preserve"> of utility-scale solar; 1,400 </w:t>
            </w:r>
            <w:r w:rsidR="008533D9">
              <w:rPr>
                <w:rFonts w:eastAsia="Calibri" w:cs="Arial"/>
                <w:sz w:val="20"/>
                <w:szCs w:val="20"/>
              </w:rPr>
              <w:t>MWs</w:t>
            </w:r>
            <w:r w:rsidRPr="00B43DF3">
              <w:rPr>
                <w:rFonts w:eastAsia="Calibri" w:cs="Arial"/>
                <w:sz w:val="20"/>
                <w:szCs w:val="20"/>
              </w:rPr>
              <w:t xml:space="preserve"> of onshore wind</w:t>
            </w:r>
          </w:p>
        </w:tc>
        <w:tc>
          <w:tcPr>
            <w:tcW w:w="2304"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hideMark/>
          </w:tcPr>
          <w:p w14:paraId="685FFB5A" w14:textId="0932E343" w:rsidR="00AD6BDA" w:rsidRPr="00B43DF3" w:rsidRDefault="00AD6BDA" w:rsidP="00865E25">
            <w:pPr>
              <w:jc w:val="left"/>
              <w:rPr>
                <w:rFonts w:eastAsia="Calibri" w:cs="Arial"/>
                <w:sz w:val="20"/>
                <w:szCs w:val="20"/>
              </w:rPr>
            </w:pPr>
            <w:r w:rsidRPr="00B43DF3">
              <w:rPr>
                <w:rFonts w:eastAsia="Calibri" w:cs="Arial"/>
                <w:sz w:val="20"/>
                <w:szCs w:val="20"/>
              </w:rPr>
              <w:t xml:space="preserve">1,700 </w:t>
            </w:r>
            <w:r w:rsidR="008533D9">
              <w:rPr>
                <w:rFonts w:eastAsia="Calibri" w:cs="Arial"/>
                <w:sz w:val="20"/>
                <w:szCs w:val="20"/>
              </w:rPr>
              <w:t>MWs</w:t>
            </w:r>
            <w:r w:rsidRPr="00B43DF3">
              <w:rPr>
                <w:rFonts w:eastAsia="Calibri" w:cs="Arial"/>
                <w:sz w:val="20"/>
                <w:szCs w:val="20"/>
              </w:rPr>
              <w:t xml:space="preserve"> of </w:t>
            </w:r>
            <w:r w:rsidR="007C3DA3">
              <w:rPr>
                <w:rFonts w:eastAsia="Calibri" w:cs="Arial"/>
                <w:sz w:val="20"/>
                <w:szCs w:val="20"/>
              </w:rPr>
              <w:t>“</w:t>
            </w:r>
            <w:r w:rsidRPr="00B43DF3">
              <w:rPr>
                <w:rFonts w:eastAsia="Calibri" w:cs="Arial"/>
                <w:sz w:val="20"/>
                <w:szCs w:val="20"/>
              </w:rPr>
              <w:t>firm, dispatchable load supporting resources</w:t>
            </w:r>
            <w:r w:rsidR="007C3DA3">
              <w:rPr>
                <w:rFonts w:eastAsia="Calibri" w:cs="Arial"/>
                <w:sz w:val="20"/>
                <w:szCs w:val="20"/>
              </w:rPr>
              <w:t>”</w:t>
            </w:r>
          </w:p>
        </w:tc>
        <w:tc>
          <w:tcPr>
            <w:tcW w:w="2448"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hideMark/>
          </w:tcPr>
          <w:p w14:paraId="453A88C2" w14:textId="77777777" w:rsidR="00AD6BDA" w:rsidRPr="00B43DF3" w:rsidRDefault="00AD6BDA" w:rsidP="00865E25">
            <w:pPr>
              <w:jc w:val="left"/>
              <w:rPr>
                <w:rFonts w:eastAsia="Calibri" w:cs="Arial"/>
                <w:sz w:val="20"/>
                <w:szCs w:val="20"/>
              </w:rPr>
            </w:pPr>
            <w:r w:rsidRPr="00B43DF3">
              <w:rPr>
                <w:rFonts w:eastAsia="Calibri" w:cs="Arial"/>
                <w:sz w:val="20"/>
                <w:szCs w:val="20"/>
              </w:rPr>
              <w:t>Customer costs increase 1.1% per year compared to 2.4% for inflation</w:t>
            </w:r>
          </w:p>
        </w:tc>
      </w:tr>
      <w:tr w:rsidR="00AD6BDA" w:rsidRPr="00B43DF3" w14:paraId="44A1481E" w14:textId="77777777" w:rsidTr="00865E25">
        <w:trPr>
          <w:trHeight w:val="864"/>
          <w:jc w:val="center"/>
        </w:trPr>
        <w:tc>
          <w:tcPr>
            <w:tcW w:w="1219"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hideMark/>
          </w:tcPr>
          <w:p w14:paraId="396853BD" w14:textId="77777777" w:rsidR="00AD6BDA" w:rsidRPr="00B43DF3" w:rsidRDefault="00AD6BDA" w:rsidP="00865E25">
            <w:pPr>
              <w:jc w:val="left"/>
              <w:rPr>
                <w:rFonts w:eastAsia="Calibri" w:cs="Arial"/>
                <w:sz w:val="20"/>
                <w:szCs w:val="20"/>
              </w:rPr>
            </w:pPr>
            <w:r w:rsidRPr="00B43DF3">
              <w:rPr>
                <w:rFonts w:eastAsia="Calibri" w:cs="Arial"/>
                <w:sz w:val="20"/>
                <w:szCs w:val="20"/>
              </w:rPr>
              <w:t>APS</w:t>
            </w:r>
          </w:p>
        </w:tc>
        <w:tc>
          <w:tcPr>
            <w:tcW w:w="1658"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hideMark/>
          </w:tcPr>
          <w:p w14:paraId="726157FE" w14:textId="77777777" w:rsidR="00AD6BDA" w:rsidRPr="00B43DF3" w:rsidRDefault="00AD6BDA" w:rsidP="00865E25">
            <w:pPr>
              <w:jc w:val="left"/>
              <w:rPr>
                <w:rFonts w:eastAsia="Calibri" w:cs="Arial"/>
                <w:sz w:val="20"/>
                <w:szCs w:val="20"/>
              </w:rPr>
            </w:pPr>
            <w:r w:rsidRPr="00B43DF3">
              <w:rPr>
                <w:rFonts w:eastAsia="Calibri" w:cs="Arial"/>
                <w:sz w:val="20"/>
                <w:szCs w:val="20"/>
              </w:rPr>
              <w:t>100% carbon-free electricity by 2050</w:t>
            </w:r>
          </w:p>
        </w:tc>
        <w:tc>
          <w:tcPr>
            <w:tcW w:w="2333"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hideMark/>
          </w:tcPr>
          <w:p w14:paraId="1B799F6A" w14:textId="004536FE" w:rsidR="00AD6BDA" w:rsidRPr="00B43DF3" w:rsidRDefault="00AD6BDA" w:rsidP="00865E25">
            <w:pPr>
              <w:jc w:val="left"/>
              <w:rPr>
                <w:rFonts w:eastAsia="Calibri" w:cs="Arial"/>
                <w:sz w:val="20"/>
                <w:szCs w:val="20"/>
              </w:rPr>
            </w:pPr>
            <w:r w:rsidRPr="00B43DF3">
              <w:rPr>
                <w:rFonts w:eastAsia="Calibri" w:cs="Arial"/>
                <w:sz w:val="20"/>
                <w:szCs w:val="20"/>
              </w:rPr>
              <w:t xml:space="preserve">6,450 </w:t>
            </w:r>
            <w:r w:rsidR="008533D9">
              <w:rPr>
                <w:rFonts w:eastAsia="Calibri" w:cs="Arial"/>
                <w:sz w:val="20"/>
                <w:szCs w:val="20"/>
              </w:rPr>
              <w:t>MWs</w:t>
            </w:r>
            <w:r w:rsidRPr="00B43DF3">
              <w:rPr>
                <w:rFonts w:eastAsia="Calibri" w:cs="Arial"/>
                <w:sz w:val="20"/>
                <w:szCs w:val="20"/>
              </w:rPr>
              <w:t xml:space="preserve"> of utility-scale solar and onshore wind</w:t>
            </w:r>
          </w:p>
        </w:tc>
        <w:tc>
          <w:tcPr>
            <w:tcW w:w="2304"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hideMark/>
          </w:tcPr>
          <w:p w14:paraId="23E56DF7" w14:textId="7A5B63D8" w:rsidR="00AD6BDA" w:rsidRPr="00B43DF3" w:rsidRDefault="00AD6BDA" w:rsidP="00865E25">
            <w:pPr>
              <w:jc w:val="left"/>
              <w:rPr>
                <w:rFonts w:eastAsia="Calibri" w:cs="Arial"/>
                <w:sz w:val="20"/>
                <w:szCs w:val="20"/>
              </w:rPr>
            </w:pPr>
            <w:r w:rsidRPr="00B43DF3">
              <w:rPr>
                <w:rFonts w:eastAsia="Calibri" w:cs="Arial"/>
                <w:sz w:val="20"/>
                <w:szCs w:val="20"/>
              </w:rPr>
              <w:t xml:space="preserve">4,850 </w:t>
            </w:r>
            <w:r w:rsidR="008533D9">
              <w:rPr>
                <w:rFonts w:eastAsia="Calibri" w:cs="Arial"/>
                <w:sz w:val="20"/>
                <w:szCs w:val="20"/>
              </w:rPr>
              <w:t>MWs</w:t>
            </w:r>
            <w:r w:rsidRPr="00B43DF3">
              <w:rPr>
                <w:rFonts w:eastAsia="Calibri" w:cs="Arial"/>
                <w:sz w:val="20"/>
                <w:szCs w:val="20"/>
              </w:rPr>
              <w:t xml:space="preserve"> of storage</w:t>
            </w:r>
          </w:p>
        </w:tc>
        <w:tc>
          <w:tcPr>
            <w:tcW w:w="2448"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hideMark/>
          </w:tcPr>
          <w:p w14:paraId="33B86902" w14:textId="77777777" w:rsidR="00AD6BDA" w:rsidRPr="00B43DF3" w:rsidRDefault="00AD6BDA" w:rsidP="00865E25">
            <w:pPr>
              <w:jc w:val="left"/>
              <w:rPr>
                <w:rFonts w:eastAsia="Calibri" w:cs="Arial"/>
                <w:sz w:val="20"/>
                <w:szCs w:val="20"/>
              </w:rPr>
            </w:pPr>
            <w:r w:rsidRPr="00B43DF3">
              <w:rPr>
                <w:rFonts w:eastAsia="Calibri" w:cs="Arial"/>
                <w:sz w:val="20"/>
                <w:szCs w:val="20"/>
              </w:rPr>
              <w:t>G&amp;T system costs increase 1.3% per year compared to 2.5% for inflation</w:t>
            </w:r>
          </w:p>
        </w:tc>
      </w:tr>
      <w:tr w:rsidR="007E6521" w:rsidRPr="00B43DF3" w14:paraId="20E00281" w14:textId="77777777" w:rsidTr="00865E25">
        <w:trPr>
          <w:trHeight w:val="864"/>
          <w:jc w:val="center"/>
        </w:trPr>
        <w:tc>
          <w:tcPr>
            <w:tcW w:w="1219"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tcPr>
          <w:p w14:paraId="7A58914B" w14:textId="77777777" w:rsidR="007E6521" w:rsidRPr="00B43DF3" w:rsidRDefault="007E6521" w:rsidP="00865E25">
            <w:pPr>
              <w:jc w:val="left"/>
              <w:rPr>
                <w:rFonts w:eastAsia="Calibri" w:cs="Arial"/>
                <w:sz w:val="20"/>
                <w:szCs w:val="20"/>
              </w:rPr>
            </w:pPr>
            <w:r w:rsidRPr="00B43DF3">
              <w:rPr>
                <w:rFonts w:eastAsia="Calibri" w:cs="Arial"/>
                <w:sz w:val="20"/>
                <w:szCs w:val="20"/>
              </w:rPr>
              <w:t>Duke Energy</w:t>
            </w:r>
          </w:p>
        </w:tc>
        <w:tc>
          <w:tcPr>
            <w:tcW w:w="1658"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tcPr>
          <w:p w14:paraId="32CAE7C1" w14:textId="6B25F875" w:rsidR="007E6521" w:rsidRPr="00B43DF3" w:rsidRDefault="007E6521" w:rsidP="00865E25">
            <w:pPr>
              <w:jc w:val="left"/>
              <w:rPr>
                <w:rFonts w:eastAsia="Calibri" w:cs="Arial"/>
                <w:sz w:val="20"/>
                <w:szCs w:val="20"/>
              </w:rPr>
            </w:pPr>
            <w:r w:rsidRPr="00B43DF3">
              <w:rPr>
                <w:rFonts w:eastAsia="Calibri" w:cs="Arial"/>
                <w:sz w:val="20"/>
                <w:szCs w:val="20"/>
              </w:rPr>
              <w:t>Net</w:t>
            </w:r>
            <w:r w:rsidR="00FE5EA6">
              <w:rPr>
                <w:rFonts w:eastAsia="Calibri" w:cs="Arial"/>
                <w:sz w:val="20"/>
                <w:szCs w:val="20"/>
              </w:rPr>
              <w:t xml:space="preserve"> </w:t>
            </w:r>
            <w:r w:rsidRPr="00B43DF3">
              <w:rPr>
                <w:rFonts w:eastAsia="Calibri" w:cs="Arial"/>
                <w:sz w:val="20"/>
                <w:szCs w:val="20"/>
              </w:rPr>
              <w:t>zero by 2050</w:t>
            </w:r>
          </w:p>
        </w:tc>
        <w:tc>
          <w:tcPr>
            <w:tcW w:w="2333"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tcPr>
          <w:p w14:paraId="2D29942E" w14:textId="1CB2AFF3" w:rsidR="007E6521" w:rsidRPr="00B43DF3" w:rsidRDefault="007E6521" w:rsidP="00865E25">
            <w:pPr>
              <w:jc w:val="left"/>
              <w:rPr>
                <w:rFonts w:eastAsia="Calibri" w:cs="Arial"/>
                <w:sz w:val="20"/>
                <w:szCs w:val="20"/>
              </w:rPr>
            </w:pPr>
            <w:r w:rsidRPr="00B43DF3">
              <w:rPr>
                <w:rFonts w:eastAsia="Calibri" w:cs="Arial"/>
                <w:sz w:val="20"/>
                <w:szCs w:val="20"/>
              </w:rPr>
              <w:t xml:space="preserve">8,375 </w:t>
            </w:r>
            <w:r w:rsidR="008533D9">
              <w:rPr>
                <w:rFonts w:eastAsia="Calibri" w:cs="Arial"/>
                <w:sz w:val="20"/>
                <w:szCs w:val="20"/>
              </w:rPr>
              <w:t>MWs</w:t>
            </w:r>
            <w:r w:rsidRPr="00B43DF3">
              <w:rPr>
                <w:rFonts w:eastAsia="Calibri" w:cs="Arial"/>
                <w:sz w:val="20"/>
                <w:szCs w:val="20"/>
              </w:rPr>
              <w:t xml:space="preserve"> of utility-scale solar; 750 </w:t>
            </w:r>
            <w:r w:rsidR="008533D9">
              <w:rPr>
                <w:rFonts w:eastAsia="Calibri" w:cs="Arial"/>
                <w:sz w:val="20"/>
                <w:szCs w:val="20"/>
              </w:rPr>
              <w:t>MWs</w:t>
            </w:r>
            <w:r w:rsidRPr="00B43DF3">
              <w:rPr>
                <w:rFonts w:eastAsia="Calibri" w:cs="Arial"/>
                <w:sz w:val="20"/>
                <w:szCs w:val="20"/>
              </w:rPr>
              <w:t xml:space="preserve"> of onshore wind</w:t>
            </w:r>
          </w:p>
        </w:tc>
        <w:tc>
          <w:tcPr>
            <w:tcW w:w="2304"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tcPr>
          <w:p w14:paraId="2F2683FA" w14:textId="0E14D133" w:rsidR="007E6521" w:rsidRPr="00B43DF3" w:rsidRDefault="007E6521" w:rsidP="00865E25">
            <w:pPr>
              <w:jc w:val="left"/>
              <w:rPr>
                <w:rFonts w:eastAsia="Calibri" w:cs="Arial"/>
                <w:sz w:val="20"/>
                <w:szCs w:val="20"/>
              </w:rPr>
            </w:pPr>
            <w:r w:rsidRPr="00B43DF3">
              <w:rPr>
                <w:rFonts w:eastAsia="Calibri" w:cs="Arial"/>
                <w:sz w:val="20"/>
                <w:szCs w:val="20"/>
              </w:rPr>
              <w:t xml:space="preserve">2,200 </w:t>
            </w:r>
            <w:r w:rsidR="008533D9">
              <w:rPr>
                <w:rFonts w:eastAsia="Calibri" w:cs="Arial"/>
                <w:sz w:val="20"/>
                <w:szCs w:val="20"/>
              </w:rPr>
              <w:t>MWs</w:t>
            </w:r>
            <w:r w:rsidRPr="00B43DF3">
              <w:rPr>
                <w:rFonts w:eastAsia="Calibri" w:cs="Arial"/>
                <w:sz w:val="20"/>
                <w:szCs w:val="20"/>
              </w:rPr>
              <w:t xml:space="preserve"> of storage</w:t>
            </w:r>
          </w:p>
        </w:tc>
        <w:tc>
          <w:tcPr>
            <w:tcW w:w="2448" w:type="dxa"/>
            <w:tcBorders>
              <w:top w:val="single" w:sz="8" w:space="0" w:color="FFFFFF"/>
              <w:left w:val="single" w:sz="8" w:space="0" w:color="FFFFFF"/>
              <w:bottom w:val="single" w:sz="8" w:space="0" w:color="FFFFFF"/>
              <w:right w:val="single" w:sz="8" w:space="0" w:color="FFFFFF"/>
            </w:tcBorders>
            <w:shd w:val="clear" w:color="auto" w:fill="D2D2D3"/>
            <w:tcMar>
              <w:top w:w="72" w:type="dxa"/>
              <w:left w:w="144" w:type="dxa"/>
              <w:bottom w:w="72" w:type="dxa"/>
              <w:right w:w="144" w:type="dxa"/>
            </w:tcMar>
            <w:vAlign w:val="center"/>
          </w:tcPr>
          <w:p w14:paraId="73A1CA6F" w14:textId="77777777" w:rsidR="007E6521" w:rsidRPr="00B43DF3" w:rsidRDefault="007E6521" w:rsidP="00865E25">
            <w:pPr>
              <w:jc w:val="left"/>
              <w:rPr>
                <w:rFonts w:eastAsia="Calibri" w:cs="Arial"/>
                <w:sz w:val="20"/>
                <w:szCs w:val="20"/>
              </w:rPr>
            </w:pPr>
            <w:r w:rsidRPr="00B43DF3">
              <w:rPr>
                <w:rFonts w:eastAsia="Calibri" w:cs="Arial"/>
                <w:sz w:val="20"/>
                <w:szCs w:val="20"/>
              </w:rPr>
              <w:t>Residential bills increase 1.5% per year; no inflation assumption provided</w:t>
            </w:r>
          </w:p>
        </w:tc>
      </w:tr>
      <w:tr w:rsidR="007E6521" w:rsidRPr="00B43DF3" w14:paraId="469A4F26" w14:textId="77777777" w:rsidTr="00865E25">
        <w:trPr>
          <w:trHeight w:val="864"/>
          <w:jc w:val="center"/>
        </w:trPr>
        <w:tc>
          <w:tcPr>
            <w:tcW w:w="1219"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tcPr>
          <w:p w14:paraId="4CCCE435" w14:textId="77777777" w:rsidR="007E6521" w:rsidRPr="00B43DF3" w:rsidRDefault="007E6521" w:rsidP="00865E25">
            <w:pPr>
              <w:jc w:val="left"/>
              <w:rPr>
                <w:rFonts w:eastAsia="Calibri" w:cs="Arial"/>
                <w:sz w:val="20"/>
                <w:szCs w:val="20"/>
              </w:rPr>
            </w:pPr>
            <w:r w:rsidRPr="00B43DF3">
              <w:rPr>
                <w:rFonts w:eastAsia="Calibri" w:cs="Arial"/>
                <w:sz w:val="20"/>
                <w:szCs w:val="20"/>
              </w:rPr>
              <w:t>Dominion Energy</w:t>
            </w:r>
          </w:p>
        </w:tc>
        <w:tc>
          <w:tcPr>
            <w:tcW w:w="1658"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tcPr>
          <w:p w14:paraId="6B5B9AD2" w14:textId="2A15A271" w:rsidR="007E6521" w:rsidRPr="00B43DF3" w:rsidRDefault="007E6521" w:rsidP="00865E25">
            <w:pPr>
              <w:jc w:val="left"/>
              <w:rPr>
                <w:rFonts w:eastAsia="Calibri" w:cs="Arial"/>
                <w:sz w:val="20"/>
                <w:szCs w:val="20"/>
              </w:rPr>
            </w:pPr>
            <w:r w:rsidRPr="00B43DF3">
              <w:rPr>
                <w:rFonts w:eastAsia="Calibri" w:cs="Arial"/>
                <w:sz w:val="20"/>
                <w:szCs w:val="20"/>
              </w:rPr>
              <w:t>Net</w:t>
            </w:r>
            <w:r w:rsidR="00FE5EA6">
              <w:rPr>
                <w:rFonts w:eastAsia="Calibri" w:cs="Arial"/>
                <w:sz w:val="20"/>
                <w:szCs w:val="20"/>
              </w:rPr>
              <w:t xml:space="preserve"> </w:t>
            </w:r>
            <w:r w:rsidRPr="00B43DF3">
              <w:rPr>
                <w:rFonts w:eastAsia="Calibri" w:cs="Arial"/>
                <w:sz w:val="20"/>
                <w:szCs w:val="20"/>
              </w:rPr>
              <w:t>zero by 2050</w:t>
            </w:r>
          </w:p>
        </w:tc>
        <w:tc>
          <w:tcPr>
            <w:tcW w:w="2333"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tcPr>
          <w:p w14:paraId="344F54C3" w14:textId="54A9EC11" w:rsidR="007E6521" w:rsidRPr="00B43DF3" w:rsidRDefault="007E6521" w:rsidP="00865E25">
            <w:pPr>
              <w:jc w:val="left"/>
              <w:rPr>
                <w:rFonts w:eastAsia="Calibri" w:cs="Arial"/>
                <w:sz w:val="20"/>
                <w:szCs w:val="20"/>
              </w:rPr>
            </w:pPr>
            <w:r w:rsidRPr="00B43DF3">
              <w:rPr>
                <w:rFonts w:eastAsia="Calibri" w:cs="Arial"/>
                <w:sz w:val="20"/>
                <w:szCs w:val="20"/>
              </w:rPr>
              <w:t xml:space="preserve">16,000 </w:t>
            </w:r>
            <w:r w:rsidR="008533D9">
              <w:rPr>
                <w:rFonts w:eastAsia="Calibri" w:cs="Arial"/>
                <w:sz w:val="20"/>
                <w:szCs w:val="20"/>
              </w:rPr>
              <w:t>MWs</w:t>
            </w:r>
            <w:r w:rsidRPr="00B43DF3">
              <w:rPr>
                <w:rFonts w:eastAsia="Calibri" w:cs="Arial"/>
                <w:sz w:val="20"/>
                <w:szCs w:val="20"/>
              </w:rPr>
              <w:t xml:space="preserve"> (1,000 </w:t>
            </w:r>
            <w:r w:rsidR="008533D9">
              <w:rPr>
                <w:rFonts w:eastAsia="Calibri" w:cs="Arial"/>
                <w:sz w:val="20"/>
                <w:szCs w:val="20"/>
              </w:rPr>
              <w:t>MWs</w:t>
            </w:r>
            <w:r w:rsidRPr="00B43DF3">
              <w:rPr>
                <w:rFonts w:eastAsia="Calibri" w:cs="Arial"/>
                <w:sz w:val="20"/>
                <w:szCs w:val="20"/>
              </w:rPr>
              <w:t xml:space="preserve"> distributed); 5,000 </w:t>
            </w:r>
            <w:r w:rsidR="007C3DA3">
              <w:rPr>
                <w:rFonts w:eastAsia="Calibri" w:cs="Arial"/>
                <w:sz w:val="20"/>
                <w:szCs w:val="20"/>
              </w:rPr>
              <w:t xml:space="preserve">MWs of </w:t>
            </w:r>
            <w:r w:rsidRPr="00B43DF3">
              <w:rPr>
                <w:rFonts w:eastAsia="Calibri" w:cs="Arial"/>
                <w:sz w:val="20"/>
                <w:szCs w:val="20"/>
              </w:rPr>
              <w:t>offshore wind</w:t>
            </w:r>
          </w:p>
        </w:tc>
        <w:tc>
          <w:tcPr>
            <w:tcW w:w="2304"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tcPr>
          <w:p w14:paraId="62739B06" w14:textId="15D21F2C" w:rsidR="007E6521" w:rsidRPr="00B43DF3" w:rsidRDefault="007E6521" w:rsidP="00865E25">
            <w:pPr>
              <w:jc w:val="left"/>
              <w:rPr>
                <w:rFonts w:eastAsia="Calibri" w:cs="Arial"/>
                <w:sz w:val="20"/>
                <w:szCs w:val="20"/>
              </w:rPr>
            </w:pPr>
            <w:r w:rsidRPr="00B43DF3">
              <w:rPr>
                <w:rFonts w:eastAsia="Calibri" w:cs="Arial"/>
                <w:sz w:val="20"/>
                <w:szCs w:val="20"/>
              </w:rPr>
              <w:t xml:space="preserve">2,714 </w:t>
            </w:r>
            <w:r w:rsidR="008533D9">
              <w:rPr>
                <w:rFonts w:eastAsia="Calibri" w:cs="Arial"/>
                <w:sz w:val="20"/>
                <w:szCs w:val="20"/>
              </w:rPr>
              <w:t>MWs</w:t>
            </w:r>
            <w:r w:rsidRPr="00B43DF3">
              <w:rPr>
                <w:rFonts w:eastAsia="Calibri" w:cs="Arial"/>
                <w:sz w:val="20"/>
                <w:szCs w:val="20"/>
              </w:rPr>
              <w:t xml:space="preserve"> of storage</w:t>
            </w:r>
          </w:p>
        </w:tc>
        <w:tc>
          <w:tcPr>
            <w:tcW w:w="2448" w:type="dxa"/>
            <w:tcBorders>
              <w:top w:val="single" w:sz="8" w:space="0" w:color="FFFFFF"/>
              <w:left w:val="single" w:sz="8" w:space="0" w:color="FFFFFF"/>
              <w:bottom w:val="single" w:sz="8" w:space="0" w:color="FFFFFF"/>
              <w:right w:val="single" w:sz="8" w:space="0" w:color="FFFFFF"/>
            </w:tcBorders>
            <w:shd w:val="clear" w:color="auto" w:fill="EAEAEA"/>
            <w:tcMar>
              <w:top w:w="72" w:type="dxa"/>
              <w:left w:w="144" w:type="dxa"/>
              <w:bottom w:w="72" w:type="dxa"/>
              <w:right w:w="144" w:type="dxa"/>
            </w:tcMar>
            <w:vAlign w:val="center"/>
          </w:tcPr>
          <w:p w14:paraId="080F1B63" w14:textId="77777777" w:rsidR="007E6521" w:rsidRPr="00B43DF3" w:rsidRDefault="007E6521" w:rsidP="00865E25">
            <w:pPr>
              <w:jc w:val="left"/>
              <w:rPr>
                <w:rFonts w:eastAsia="Calibri" w:cs="Arial"/>
                <w:sz w:val="20"/>
                <w:szCs w:val="20"/>
              </w:rPr>
            </w:pPr>
            <w:r w:rsidRPr="00B43DF3">
              <w:rPr>
                <w:rFonts w:eastAsia="Calibri" w:cs="Arial"/>
                <w:sz w:val="20"/>
                <w:szCs w:val="20"/>
              </w:rPr>
              <w:t>Residential bills increase 2.9% per year; no inflation assumption provided</w:t>
            </w:r>
          </w:p>
        </w:tc>
      </w:tr>
    </w:tbl>
    <w:p w14:paraId="28DB48C3" w14:textId="77777777" w:rsidR="007E6521" w:rsidRDefault="007E6521" w:rsidP="00AD6BDA">
      <w:pPr>
        <w:jc w:val="left"/>
        <w:rPr>
          <w:rFonts w:eastAsia="Calibri" w:cs="Arial"/>
        </w:rPr>
      </w:pPr>
    </w:p>
    <w:p w14:paraId="7F832027" w14:textId="39028A0A" w:rsidR="00AD6BDA" w:rsidRDefault="00AD6BDA" w:rsidP="00B43DF3">
      <w:pPr>
        <w:rPr>
          <w:rFonts w:eastAsia="Calibri"/>
        </w:rPr>
      </w:pPr>
      <w:r w:rsidRPr="00AD6BDA">
        <w:rPr>
          <w:rFonts w:eastAsia="Calibri"/>
        </w:rPr>
        <w:t>Even with the growth of renewables and storage, the IRPs indicate natural gas will remain an important component of the electric grid.</w:t>
      </w:r>
      <w:r w:rsidR="00181F3F">
        <w:rPr>
          <w:rFonts w:eastAsia="Calibri"/>
        </w:rPr>
        <w:t xml:space="preserve"> </w:t>
      </w:r>
      <w:proofErr w:type="gramStart"/>
      <w:r w:rsidRPr="00AD6BDA">
        <w:rPr>
          <w:rFonts w:eastAsia="Calibri"/>
        </w:rPr>
        <w:t>With the exception of</w:t>
      </w:r>
      <w:proofErr w:type="gramEnd"/>
      <w:r w:rsidRPr="00AD6BDA">
        <w:rPr>
          <w:rFonts w:eastAsia="Calibri"/>
        </w:rPr>
        <w:t xml:space="preserve"> scenarios that intentionally eliminate natural gas generation, all IRP scenarios use </w:t>
      </w:r>
      <w:r w:rsidR="004C61AA">
        <w:rPr>
          <w:rFonts w:eastAsia="Calibri"/>
        </w:rPr>
        <w:t>natural gas generation</w:t>
      </w:r>
      <w:r w:rsidRPr="00AD6BDA">
        <w:rPr>
          <w:rFonts w:eastAsia="Calibri"/>
        </w:rPr>
        <w:t xml:space="preserve"> to ensure power grid reliability. Some utilities expect to keep natural gas capacity relatively constant (e.g., Xcel Energy), while others expect to add incremental natural gas capacity (e.g., Duke Energy) during the IRP</w:t>
      </w:r>
      <w:r w:rsidR="00900120">
        <w:rPr>
          <w:rFonts w:eastAsia="Calibri"/>
        </w:rPr>
        <w:t>-</w:t>
      </w:r>
      <w:r w:rsidRPr="00AD6BDA">
        <w:rPr>
          <w:rFonts w:eastAsia="Calibri"/>
        </w:rPr>
        <w:t>planning periods.</w:t>
      </w:r>
    </w:p>
    <w:p w14:paraId="647564AA" w14:textId="77777777" w:rsidR="00AD6BDA" w:rsidRPr="00AD6BDA" w:rsidRDefault="00AD6BDA" w:rsidP="00B43DF3">
      <w:pPr>
        <w:rPr>
          <w:rFonts w:eastAsia="Calibri"/>
        </w:rPr>
      </w:pPr>
    </w:p>
    <w:p w14:paraId="06A3A833" w14:textId="29D31DFA" w:rsidR="00AD6BDA" w:rsidRDefault="00AD6BDA" w:rsidP="00B43DF3">
      <w:pPr>
        <w:rPr>
          <w:rFonts w:eastAsia="Calibri"/>
        </w:rPr>
      </w:pPr>
      <w:r w:rsidRPr="00AD6BDA">
        <w:rPr>
          <w:rFonts w:eastAsia="Calibri"/>
        </w:rPr>
        <w:t>The IRPs also show a clear trade-off between affordability and more aggressive carbon reductions.</w:t>
      </w:r>
      <w:r w:rsidR="00181F3F">
        <w:rPr>
          <w:rFonts w:eastAsia="Calibri"/>
        </w:rPr>
        <w:t xml:space="preserve"> </w:t>
      </w:r>
      <w:r w:rsidRPr="00AD6BDA">
        <w:rPr>
          <w:rFonts w:eastAsia="Calibri"/>
        </w:rPr>
        <w:t xml:space="preserve">Scenarios with deep carbon reductions often require </w:t>
      </w:r>
      <w:r w:rsidR="00BC47EF">
        <w:rPr>
          <w:rFonts w:eastAsia="Calibri"/>
        </w:rPr>
        <w:t>accelerating the addition</w:t>
      </w:r>
      <w:r w:rsidR="00DF08AF">
        <w:rPr>
          <w:rFonts w:eastAsia="Calibri"/>
        </w:rPr>
        <w:t xml:space="preserve"> of</w:t>
      </w:r>
      <w:r w:rsidR="00BC47EF">
        <w:rPr>
          <w:rFonts w:eastAsia="Calibri"/>
        </w:rPr>
        <w:t xml:space="preserve"> </w:t>
      </w:r>
      <w:r w:rsidRPr="00AD6BDA">
        <w:rPr>
          <w:rFonts w:eastAsia="Calibri"/>
        </w:rPr>
        <w:t>renewable energy and battery storage capacities</w:t>
      </w:r>
      <w:r w:rsidR="00DF08AF">
        <w:rPr>
          <w:rFonts w:eastAsia="Calibri"/>
        </w:rPr>
        <w:t>.</w:t>
      </w:r>
      <w:r w:rsidR="00181F3F">
        <w:rPr>
          <w:rFonts w:eastAsia="Calibri"/>
        </w:rPr>
        <w:t xml:space="preserve"> </w:t>
      </w:r>
      <w:r w:rsidR="00580B9F">
        <w:rPr>
          <w:rFonts w:eastAsia="Calibri"/>
        </w:rPr>
        <w:t>Some</w:t>
      </w:r>
      <w:r w:rsidR="00DF08AF">
        <w:rPr>
          <w:rFonts w:eastAsia="Calibri"/>
        </w:rPr>
        <w:t xml:space="preserve"> also considered </w:t>
      </w:r>
      <w:r w:rsidRPr="00AD6BDA">
        <w:rPr>
          <w:rFonts w:eastAsia="Calibri"/>
        </w:rPr>
        <w:t>technologies that are not yet cost</w:t>
      </w:r>
      <w:r w:rsidR="00E12A3A">
        <w:rPr>
          <w:rFonts w:eastAsia="Calibri"/>
        </w:rPr>
        <w:t>-</w:t>
      </w:r>
      <w:r w:rsidRPr="00AD6BDA">
        <w:rPr>
          <w:rFonts w:eastAsia="Calibri"/>
        </w:rPr>
        <w:t>effective</w:t>
      </w:r>
      <w:r w:rsidR="00900120">
        <w:rPr>
          <w:rFonts w:eastAsia="Calibri"/>
        </w:rPr>
        <w:t>,</w:t>
      </w:r>
      <w:r w:rsidRPr="00AD6BDA">
        <w:rPr>
          <w:rFonts w:eastAsia="Calibri"/>
        </w:rPr>
        <w:t xml:space="preserve"> like long-duration storage, small modular nuclear, or carbon capture technology.</w:t>
      </w:r>
    </w:p>
    <w:p w14:paraId="4F786938" w14:textId="77777777" w:rsidR="00AD6BDA" w:rsidRPr="00AD6BDA" w:rsidRDefault="00AD6BDA" w:rsidP="00B43DF3">
      <w:pPr>
        <w:rPr>
          <w:rFonts w:eastAsia="Calibri"/>
        </w:rPr>
      </w:pPr>
    </w:p>
    <w:p w14:paraId="59696820" w14:textId="2331B7F2" w:rsidR="00AD6BDA" w:rsidRPr="00AD6BDA" w:rsidRDefault="00AD6BDA" w:rsidP="00B43DF3">
      <w:pPr>
        <w:rPr>
          <w:rFonts w:eastAsia="Calibri"/>
        </w:rPr>
      </w:pPr>
      <w:r w:rsidRPr="00AD6BDA">
        <w:rPr>
          <w:rFonts w:eastAsia="Calibri"/>
        </w:rPr>
        <w:t>We expect these IRPs will continue to evolve over time. The near-term focus is clear: build renewables and battery storage. Over</w:t>
      </w:r>
      <w:r w:rsidR="00923146">
        <w:rPr>
          <w:rFonts w:eastAsia="Calibri"/>
        </w:rPr>
        <w:t xml:space="preserve"> the</w:t>
      </w:r>
      <w:r w:rsidRPr="00AD6BDA">
        <w:rPr>
          <w:rFonts w:eastAsia="Calibri"/>
        </w:rPr>
        <w:t xml:space="preserve"> long-term, the push toward deeper decarbonization could take multiple paths. Important signposts to monitor will be cost declines in existing carbon-free technologies and the emergence of new, cost-effective net-zero technologies.</w:t>
      </w:r>
      <w:r w:rsidR="00242DD9">
        <w:rPr>
          <w:rFonts w:eastAsia="Calibri"/>
        </w:rPr>
        <w:t xml:space="preserve"> </w:t>
      </w:r>
    </w:p>
    <w:p w14:paraId="3BCC8B36" w14:textId="77777777" w:rsidR="00AD6BDA" w:rsidRPr="00AD6BDA" w:rsidRDefault="00AD6BDA" w:rsidP="00AD6BDA">
      <w:pPr>
        <w:spacing w:line="259" w:lineRule="auto"/>
        <w:jc w:val="left"/>
        <w:rPr>
          <w:rFonts w:eastAsia="Calibri" w:cs="Arial"/>
        </w:rPr>
      </w:pPr>
    </w:p>
    <w:p w14:paraId="31056C90" w14:textId="5C636753" w:rsidR="00AD6BDA" w:rsidRPr="00AD6BDA" w:rsidRDefault="00B43DF3" w:rsidP="00B43DF3">
      <w:pPr>
        <w:pStyle w:val="MinorLeft"/>
        <w:rPr>
          <w:rFonts w:eastAsia="Calibri"/>
        </w:rPr>
      </w:pPr>
      <w:r w:rsidRPr="00AD6BDA">
        <w:rPr>
          <w:rFonts w:eastAsia="Calibri"/>
        </w:rPr>
        <w:t>Implications</w:t>
      </w:r>
    </w:p>
    <w:p w14:paraId="13E8A4CE" w14:textId="4E9E2D1F" w:rsidR="00154073" w:rsidRDefault="00AD6BDA" w:rsidP="00B43DF3">
      <w:pPr>
        <w:rPr>
          <w:rFonts w:eastAsia="Calibri"/>
        </w:rPr>
      </w:pPr>
      <w:r w:rsidRPr="00AD6BDA">
        <w:rPr>
          <w:rFonts w:eastAsia="Calibri"/>
        </w:rPr>
        <w:t xml:space="preserve">The growing shift to decarbonize the electric power sector will require utilities to evolve </w:t>
      </w:r>
      <w:r w:rsidR="00DD0CCC">
        <w:rPr>
          <w:rFonts w:eastAsia="Calibri"/>
        </w:rPr>
        <w:t xml:space="preserve">their </w:t>
      </w:r>
      <w:r w:rsidRPr="00AD6BDA">
        <w:rPr>
          <w:rFonts w:eastAsia="Calibri"/>
        </w:rPr>
        <w:t>generation assets and business models.</w:t>
      </w:r>
      <w:r w:rsidR="00181F3F">
        <w:rPr>
          <w:rFonts w:eastAsia="Calibri"/>
        </w:rPr>
        <w:t xml:space="preserve"> </w:t>
      </w:r>
      <w:r w:rsidRPr="00AD6BDA">
        <w:rPr>
          <w:rFonts w:eastAsia="Calibri"/>
        </w:rPr>
        <w:t xml:space="preserve">Success will require developing an understanding of current </w:t>
      </w:r>
      <w:r w:rsidR="00C90939">
        <w:rPr>
          <w:rFonts w:eastAsia="Calibri"/>
        </w:rPr>
        <w:t>carbon-emissions</w:t>
      </w:r>
      <w:r w:rsidRPr="00AD6BDA">
        <w:rPr>
          <w:rFonts w:eastAsia="Calibri"/>
        </w:rPr>
        <w:t xml:space="preserve"> profiles</w:t>
      </w:r>
      <w:r w:rsidR="00CE482B">
        <w:rPr>
          <w:rFonts w:eastAsia="Calibri"/>
        </w:rPr>
        <w:t>,</w:t>
      </w:r>
      <w:r w:rsidRPr="00AD6BDA">
        <w:rPr>
          <w:rFonts w:eastAsia="Calibri"/>
        </w:rPr>
        <w:t xml:space="preserve"> while preparing for higher penetrations of renewables and other net-zero carbon technologies.</w:t>
      </w:r>
    </w:p>
    <w:p w14:paraId="300EC7E9" w14:textId="421806F1" w:rsidR="00154073" w:rsidRDefault="00154073" w:rsidP="00B43DF3">
      <w:pPr>
        <w:rPr>
          <w:rFonts w:eastAsia="Calibri"/>
        </w:rPr>
      </w:pPr>
    </w:p>
    <w:p w14:paraId="094C0BA5" w14:textId="6CCA8608" w:rsidR="00AD6BDA" w:rsidRDefault="005C32C7" w:rsidP="00B43DF3">
      <w:pPr>
        <w:rPr>
          <w:rFonts w:eastAsia="Calibri"/>
        </w:rPr>
      </w:pPr>
      <w:r w:rsidRPr="007A3AA1">
        <w:rPr>
          <w:rFonts w:eastAsia="Calibri"/>
        </w:rPr>
        <w:t>U</w:t>
      </w:r>
      <w:r w:rsidR="00913D46" w:rsidRPr="007A3AA1">
        <w:rPr>
          <w:rFonts w:eastAsia="Calibri"/>
        </w:rPr>
        <w:t>tilities</w:t>
      </w:r>
      <w:r w:rsidR="008151F4" w:rsidRPr="007A3AA1">
        <w:rPr>
          <w:rFonts w:eastAsia="Calibri"/>
        </w:rPr>
        <w:t xml:space="preserve"> </w:t>
      </w:r>
      <w:r w:rsidR="004B5120" w:rsidRPr="007A3AA1">
        <w:rPr>
          <w:rFonts w:eastAsia="Calibri"/>
        </w:rPr>
        <w:t xml:space="preserve">will need to </w:t>
      </w:r>
      <w:r w:rsidR="00913D46" w:rsidRPr="007A3AA1">
        <w:rPr>
          <w:rFonts w:eastAsia="Calibri"/>
        </w:rPr>
        <w:t>consider</w:t>
      </w:r>
      <w:r w:rsidR="0052380D" w:rsidRPr="007A3AA1">
        <w:rPr>
          <w:rFonts w:eastAsia="Calibri"/>
        </w:rPr>
        <w:t xml:space="preserve"> </w:t>
      </w:r>
      <w:r w:rsidR="004B5120" w:rsidRPr="007A3AA1">
        <w:rPr>
          <w:rFonts w:eastAsia="Calibri"/>
        </w:rPr>
        <w:t>building new</w:t>
      </w:r>
      <w:r w:rsidR="003D444E" w:rsidRPr="007A3AA1">
        <w:rPr>
          <w:rFonts w:eastAsia="Calibri"/>
        </w:rPr>
        <w:t xml:space="preserve"> </w:t>
      </w:r>
      <w:r w:rsidR="0052380D" w:rsidRPr="007A3AA1">
        <w:rPr>
          <w:rFonts w:eastAsia="Calibri"/>
        </w:rPr>
        <w:t xml:space="preserve">natural gas </w:t>
      </w:r>
      <w:r w:rsidR="0092423A">
        <w:rPr>
          <w:rFonts w:eastAsia="Calibri"/>
        </w:rPr>
        <w:t>and/</w:t>
      </w:r>
      <w:r w:rsidR="004B5120" w:rsidRPr="007A3AA1">
        <w:rPr>
          <w:rFonts w:eastAsia="Calibri"/>
        </w:rPr>
        <w:t xml:space="preserve">or </w:t>
      </w:r>
      <w:r w:rsidR="0028725A" w:rsidRPr="007A3AA1">
        <w:rPr>
          <w:rFonts w:eastAsia="Calibri"/>
        </w:rPr>
        <w:t>renewable</w:t>
      </w:r>
      <w:r w:rsidR="004B5120" w:rsidRPr="007A3AA1">
        <w:rPr>
          <w:rFonts w:eastAsia="Calibri"/>
        </w:rPr>
        <w:t xml:space="preserve"> generation </w:t>
      </w:r>
      <w:r w:rsidR="0052380D" w:rsidRPr="007A3AA1">
        <w:rPr>
          <w:rFonts w:eastAsia="Calibri"/>
        </w:rPr>
        <w:t>to drive carbon reductions</w:t>
      </w:r>
      <w:r w:rsidR="00BA0621" w:rsidRPr="007A3AA1">
        <w:rPr>
          <w:rFonts w:eastAsia="Calibri"/>
        </w:rPr>
        <w:t>.</w:t>
      </w:r>
      <w:r w:rsidR="00181F3F">
        <w:rPr>
          <w:rFonts w:eastAsia="Calibri"/>
        </w:rPr>
        <w:t xml:space="preserve"> </w:t>
      </w:r>
      <w:r w:rsidR="009D2340" w:rsidRPr="007A3AA1">
        <w:rPr>
          <w:rFonts w:eastAsia="Calibri"/>
        </w:rPr>
        <w:t>Each option carries its own set of risks</w:t>
      </w:r>
      <w:r w:rsidR="00D12D6C" w:rsidRPr="007A3AA1">
        <w:rPr>
          <w:rFonts w:eastAsia="Calibri"/>
        </w:rPr>
        <w:t>, as</w:t>
      </w:r>
      <w:r w:rsidR="00BA0621" w:rsidRPr="007A3AA1">
        <w:rPr>
          <w:rFonts w:eastAsia="Calibri"/>
        </w:rPr>
        <w:t xml:space="preserve"> </w:t>
      </w:r>
      <w:r w:rsidR="00E9104B" w:rsidRPr="007A3AA1">
        <w:rPr>
          <w:rFonts w:eastAsia="Calibri"/>
        </w:rPr>
        <w:t>natural gas generation may be subject to</w:t>
      </w:r>
      <w:r w:rsidR="003D444E" w:rsidRPr="007A3AA1">
        <w:rPr>
          <w:rFonts w:eastAsia="Calibri"/>
        </w:rPr>
        <w:t xml:space="preserve"> future</w:t>
      </w:r>
      <w:r w:rsidR="00E9104B" w:rsidRPr="007A3AA1">
        <w:rPr>
          <w:rFonts w:eastAsia="Calibri"/>
        </w:rPr>
        <w:t xml:space="preserve"> portfolio</w:t>
      </w:r>
      <w:r w:rsidR="0052380D" w:rsidRPr="007A3AA1">
        <w:rPr>
          <w:rFonts w:eastAsia="Calibri"/>
        </w:rPr>
        <w:t xml:space="preserve"> reviews </w:t>
      </w:r>
      <w:r w:rsidR="00945DCF" w:rsidRPr="007A3AA1">
        <w:rPr>
          <w:rFonts w:eastAsia="Calibri"/>
        </w:rPr>
        <w:t>if</w:t>
      </w:r>
      <w:r w:rsidR="008E08D4" w:rsidRPr="007A3AA1">
        <w:rPr>
          <w:rFonts w:eastAsia="Calibri"/>
        </w:rPr>
        <w:t xml:space="preserve"> </w:t>
      </w:r>
      <w:r w:rsidR="00D12D6C" w:rsidRPr="007A3AA1">
        <w:rPr>
          <w:rFonts w:eastAsia="Calibri"/>
        </w:rPr>
        <w:t>net</w:t>
      </w:r>
      <w:r w:rsidR="00C44548" w:rsidRPr="007A3AA1">
        <w:rPr>
          <w:rFonts w:eastAsia="Calibri"/>
        </w:rPr>
        <w:t>-</w:t>
      </w:r>
      <w:r w:rsidR="00D12D6C" w:rsidRPr="007A3AA1">
        <w:rPr>
          <w:rFonts w:eastAsia="Calibri"/>
        </w:rPr>
        <w:t xml:space="preserve">zero policies are </w:t>
      </w:r>
      <w:proofErr w:type="gramStart"/>
      <w:r w:rsidR="00D12D6C" w:rsidRPr="007A3AA1">
        <w:rPr>
          <w:rFonts w:eastAsia="Calibri"/>
        </w:rPr>
        <w:t>adopted</w:t>
      </w:r>
      <w:proofErr w:type="gramEnd"/>
      <w:r w:rsidR="00D12D6C" w:rsidRPr="007A3AA1">
        <w:rPr>
          <w:rFonts w:eastAsia="Calibri"/>
        </w:rPr>
        <w:t xml:space="preserve"> and </w:t>
      </w:r>
      <w:r w:rsidR="00F840AF" w:rsidRPr="007A3AA1">
        <w:rPr>
          <w:rFonts w:eastAsia="Calibri"/>
        </w:rPr>
        <w:t xml:space="preserve">the </w:t>
      </w:r>
      <w:r w:rsidR="00A35055" w:rsidRPr="007A3AA1">
        <w:rPr>
          <w:rFonts w:eastAsia="Calibri"/>
        </w:rPr>
        <w:t>dominant forms of</w:t>
      </w:r>
      <w:r w:rsidR="00F840AF" w:rsidRPr="007A3AA1">
        <w:rPr>
          <w:rFonts w:eastAsia="Calibri"/>
        </w:rPr>
        <w:t xml:space="preserve"> renewable </w:t>
      </w:r>
      <w:r w:rsidR="00A35055" w:rsidRPr="007A3AA1">
        <w:rPr>
          <w:rFonts w:eastAsia="Calibri"/>
        </w:rPr>
        <w:t>generation</w:t>
      </w:r>
      <w:r w:rsidR="00F840AF" w:rsidRPr="007A3AA1">
        <w:rPr>
          <w:rFonts w:eastAsia="Calibri"/>
        </w:rPr>
        <w:t xml:space="preserve"> are </w:t>
      </w:r>
      <w:r w:rsidR="00B87429" w:rsidRPr="007A3AA1">
        <w:rPr>
          <w:rFonts w:eastAsia="Calibri"/>
        </w:rPr>
        <w:t>variable and req</w:t>
      </w:r>
      <w:r w:rsidR="004B24FE" w:rsidRPr="007A3AA1">
        <w:rPr>
          <w:rFonts w:eastAsia="Calibri"/>
        </w:rPr>
        <w:t>uire pairings with other technologies to</w:t>
      </w:r>
      <w:r w:rsidR="00CD6DA4" w:rsidRPr="007A3AA1">
        <w:rPr>
          <w:rFonts w:eastAsia="Calibri"/>
        </w:rPr>
        <w:t xml:space="preserve"> </w:t>
      </w:r>
      <w:r w:rsidR="007453D6" w:rsidRPr="007A3AA1">
        <w:rPr>
          <w:rFonts w:eastAsia="Calibri"/>
        </w:rPr>
        <w:t>ensure grid</w:t>
      </w:r>
      <w:r w:rsidR="00214002" w:rsidRPr="007A3AA1">
        <w:rPr>
          <w:rFonts w:eastAsia="Calibri"/>
        </w:rPr>
        <w:t xml:space="preserve"> reliability</w:t>
      </w:r>
      <w:r w:rsidR="004073A3" w:rsidRPr="007A3AA1">
        <w:rPr>
          <w:rFonts w:eastAsia="Calibri"/>
        </w:rPr>
        <w:t>.</w:t>
      </w:r>
      <w:r w:rsidR="00181F3F">
        <w:rPr>
          <w:rFonts w:eastAsia="Calibri"/>
        </w:rPr>
        <w:t xml:space="preserve"> </w:t>
      </w:r>
      <w:r w:rsidR="00C90622" w:rsidRPr="007A3AA1">
        <w:rPr>
          <w:rFonts w:eastAsia="Calibri"/>
        </w:rPr>
        <w:t>Utilities</w:t>
      </w:r>
      <w:r w:rsidR="00736DA7" w:rsidRPr="007A3AA1">
        <w:rPr>
          <w:rFonts w:eastAsia="Calibri"/>
        </w:rPr>
        <w:t xml:space="preserve"> </w:t>
      </w:r>
      <w:r w:rsidR="00376BDB" w:rsidRPr="007A3AA1">
        <w:rPr>
          <w:rFonts w:eastAsia="Calibri"/>
        </w:rPr>
        <w:t>need to</w:t>
      </w:r>
      <w:r w:rsidR="00736DA7" w:rsidRPr="007A3AA1">
        <w:rPr>
          <w:rFonts w:eastAsia="Calibri"/>
        </w:rPr>
        <w:t xml:space="preserve"> consider </w:t>
      </w:r>
      <w:r w:rsidR="00376BDB" w:rsidRPr="007A3AA1">
        <w:rPr>
          <w:rFonts w:eastAsia="Calibri"/>
        </w:rPr>
        <w:t>these</w:t>
      </w:r>
      <w:r w:rsidR="00736DA7" w:rsidRPr="007A3AA1">
        <w:rPr>
          <w:rFonts w:eastAsia="Calibri"/>
        </w:rPr>
        <w:t xml:space="preserve"> </w:t>
      </w:r>
      <w:r w:rsidR="00573B37" w:rsidRPr="007A3AA1">
        <w:rPr>
          <w:rFonts w:eastAsia="Calibri"/>
        </w:rPr>
        <w:t>risk</w:t>
      </w:r>
      <w:r w:rsidR="00376BDB" w:rsidRPr="007A3AA1">
        <w:rPr>
          <w:rFonts w:eastAsia="Calibri"/>
        </w:rPr>
        <w:t>s</w:t>
      </w:r>
      <w:r w:rsidR="00573B37" w:rsidRPr="007A3AA1">
        <w:rPr>
          <w:rFonts w:eastAsia="Calibri"/>
        </w:rPr>
        <w:t xml:space="preserve"> when forecasting capacity installations and building IRPs.</w:t>
      </w:r>
    </w:p>
    <w:p w14:paraId="45676201" w14:textId="77777777" w:rsidR="00AD6BDA" w:rsidRPr="00AD6BDA" w:rsidRDefault="00AD6BDA" w:rsidP="00B43DF3">
      <w:pPr>
        <w:rPr>
          <w:rFonts w:eastAsia="Calibri"/>
        </w:rPr>
      </w:pPr>
    </w:p>
    <w:p w14:paraId="2A278885" w14:textId="456A7443" w:rsidR="00AD6BDA" w:rsidRDefault="00AD6BDA" w:rsidP="00B43DF3">
      <w:pPr>
        <w:rPr>
          <w:rFonts w:eastAsia="Calibri"/>
        </w:rPr>
      </w:pPr>
      <w:r w:rsidRPr="00AD6BDA">
        <w:rPr>
          <w:rFonts w:eastAsia="Calibri"/>
        </w:rPr>
        <w:t>The transition to net-zero carbon</w:t>
      </w:r>
      <w:r w:rsidR="00CE482B">
        <w:rPr>
          <w:rFonts w:eastAsia="Calibri"/>
        </w:rPr>
        <w:t>-</w:t>
      </w:r>
      <w:r w:rsidRPr="00AD6BDA">
        <w:rPr>
          <w:rFonts w:eastAsia="Calibri"/>
        </w:rPr>
        <w:t xml:space="preserve">generation resources will be a major theme over the next </w:t>
      </w:r>
      <w:r w:rsidR="003D444E">
        <w:rPr>
          <w:rFonts w:eastAsia="Calibri"/>
        </w:rPr>
        <w:t>25 years</w:t>
      </w:r>
      <w:r w:rsidRPr="00AD6BDA">
        <w:rPr>
          <w:rFonts w:eastAsia="Calibri"/>
        </w:rPr>
        <w:t>. Electric utilities can take concrete steps today to ensure they are prepared with a thoughtful approach. Even more importantly, early actions will allow electric utilities to ensure that decarbonization is done in a cost-effective manner while ensuring reliability.</w:t>
      </w:r>
    </w:p>
    <w:p w14:paraId="49AD2D15" w14:textId="77777777" w:rsidR="00AD6BDA" w:rsidRPr="00AD6BDA" w:rsidRDefault="00AD6BDA" w:rsidP="00AD6BDA">
      <w:pPr>
        <w:spacing w:line="259" w:lineRule="auto"/>
        <w:jc w:val="left"/>
        <w:rPr>
          <w:rFonts w:eastAsia="Calibri" w:cs="Arial"/>
        </w:rPr>
      </w:pPr>
    </w:p>
    <w:p w14:paraId="13A76582" w14:textId="2CD47FC5" w:rsidR="00AD6BDA" w:rsidRDefault="00B43DF3" w:rsidP="00B43DF3">
      <w:pPr>
        <w:pStyle w:val="MinorLeft"/>
      </w:pPr>
      <w:r w:rsidRPr="00AD6BDA">
        <w:t>Contact Us</w:t>
      </w:r>
    </w:p>
    <w:p w14:paraId="1DED9412" w14:textId="7CEF5586" w:rsidR="00AD6BDA" w:rsidRDefault="00AD6BDA" w:rsidP="00B43DF3">
      <w:r w:rsidRPr="00AD6BDA">
        <w:t>Energy supply in the United States is on the cusp of significant changes. Renewables offer a solution</w:t>
      </w:r>
      <w:r w:rsidR="00B81DF2">
        <w:t xml:space="preserve"> by</w:t>
      </w:r>
      <w:r w:rsidRPr="00AD6BDA">
        <w:t xml:space="preserve"> increasing fuel and geographic diversity while lowering </w:t>
      </w:r>
      <w:r w:rsidR="00C90939">
        <w:t>emissions</w:t>
      </w:r>
      <w:r w:rsidRPr="00AD6BDA">
        <w:t xml:space="preserve"> profiles. The scale and scope of renewables will continue to expand, and this shift will require grid operators to balance intermittent resources, adapt to bi-directional power flows, and manage the integration of distribution generation assets.</w:t>
      </w:r>
    </w:p>
    <w:p w14:paraId="3E56393A" w14:textId="77777777" w:rsidR="00AD6BDA" w:rsidRDefault="00AD6BDA" w:rsidP="00B43DF3"/>
    <w:p w14:paraId="578A2400" w14:textId="7E5888A7" w:rsidR="00F515E5" w:rsidRDefault="00AD6BDA" w:rsidP="00B43DF3">
      <w:r w:rsidRPr="00AD6BDA">
        <w:t xml:space="preserve">Developing a comprehensive understanding and approach to the growth of clean and renewable technologies is complex and time consuming, requiring a unique combination of skills. These skills </w:t>
      </w:r>
      <w:r w:rsidR="004D34A1">
        <w:t xml:space="preserve">are why </w:t>
      </w:r>
      <w:r w:rsidRPr="00AD6BDA">
        <w:t>our clients turn to us.</w:t>
      </w:r>
      <w:r w:rsidR="00181F3F">
        <w:t xml:space="preserve"> </w:t>
      </w:r>
    </w:p>
    <w:p w14:paraId="6C151765" w14:textId="77777777" w:rsidR="00F515E5" w:rsidRDefault="00F515E5" w:rsidP="00B43DF3"/>
    <w:p w14:paraId="0CDE32E0" w14:textId="18ED28B3" w:rsidR="00AD6BDA" w:rsidRDefault="001A7EFC" w:rsidP="00B43DF3">
      <w:r w:rsidRPr="00AD6BDA">
        <w:rPr>
          <w:rFonts w:eastAsia="Calibri"/>
        </w:rPr>
        <w:t xml:space="preserve">ScottMadden </w:t>
      </w:r>
      <w:r>
        <w:rPr>
          <w:rFonts w:eastAsia="Calibri"/>
        </w:rPr>
        <w:t xml:space="preserve">can provide support in emissions modeling, resource analysis, and pilot project guidance for </w:t>
      </w:r>
      <w:r w:rsidRPr="00AD6BDA">
        <w:rPr>
          <w:rFonts w:eastAsia="Calibri"/>
        </w:rPr>
        <w:t>utilities preparing for this future</w:t>
      </w:r>
      <w:r w:rsidR="00410007">
        <w:rPr>
          <w:rFonts w:eastAsia="Calibri"/>
        </w:rPr>
        <w:t xml:space="preserve">. Our clients have included </w:t>
      </w:r>
      <w:r w:rsidR="00410007" w:rsidRPr="00AD6BDA">
        <w:t>utilities, industrial companies, the federal government, and more</w:t>
      </w:r>
      <w:r w:rsidR="00410007">
        <w:t>, and we can support activities ranging from</w:t>
      </w:r>
      <w:r w:rsidR="00410007">
        <w:rPr>
          <w:rFonts w:eastAsia="Calibri"/>
        </w:rPr>
        <w:t xml:space="preserve"> </w:t>
      </w:r>
      <w:r w:rsidR="00AD6BDA" w:rsidRPr="00AD6BDA">
        <w:t>strategy development to program design to asset management best practices and optimization.</w:t>
      </w:r>
      <w:r w:rsidR="00181F3F">
        <w:t xml:space="preserve"> </w:t>
      </w:r>
      <w:r w:rsidR="00AD6BDA" w:rsidRPr="00AD6BDA">
        <w:t>Please </w:t>
      </w:r>
      <w:hyperlink r:id="rId21" w:tgtFrame="_blank" w:history="1">
        <w:r w:rsidR="00AD6BDA" w:rsidRPr="00AD6BDA">
          <w:rPr>
            <w:color w:val="5F6062"/>
          </w:rPr>
          <w:t>contact us</w:t>
        </w:r>
      </w:hyperlink>
      <w:r w:rsidR="00AD6BDA" w:rsidRPr="00AD6BDA">
        <w:t> </w:t>
      </w:r>
      <w:r w:rsidR="004D34A1">
        <w:t xml:space="preserve">to </w:t>
      </w:r>
      <w:r w:rsidR="00AD6BDA" w:rsidRPr="00AD6BDA">
        <w:t>learn how we may help. </w:t>
      </w:r>
    </w:p>
    <w:p w14:paraId="435275D2" w14:textId="77777777" w:rsidR="00AD6BDA" w:rsidRPr="00AD6BDA" w:rsidRDefault="00AD6BDA" w:rsidP="00AD6BDA">
      <w:pPr>
        <w:jc w:val="left"/>
        <w:textAlignment w:val="baseline"/>
        <w:rPr>
          <w:rFonts w:cs="Arial"/>
        </w:rPr>
      </w:pPr>
    </w:p>
    <w:p w14:paraId="4D7EC6D7" w14:textId="25D7244D" w:rsidR="00AD6BDA" w:rsidRDefault="00B43DF3" w:rsidP="00B43DF3">
      <w:pPr>
        <w:pStyle w:val="MinorLeft"/>
        <w:rPr>
          <w:color w:val="5F6062"/>
        </w:rPr>
      </w:pPr>
      <w:r w:rsidRPr="00AD6BDA">
        <w:t>About</w:t>
      </w:r>
      <w:r>
        <w:t xml:space="preserve"> </w:t>
      </w:r>
      <w:r w:rsidRPr="00AD6BDA">
        <w:t>Scott</w:t>
      </w:r>
      <w:r>
        <w:t>M</w:t>
      </w:r>
      <w:r w:rsidRPr="00AD6BDA">
        <w:t>adden, Inc. </w:t>
      </w:r>
    </w:p>
    <w:p w14:paraId="55CAD8B7" w14:textId="77777777" w:rsidR="00AD6BDA" w:rsidRDefault="00AD6BDA" w:rsidP="00B43DF3">
      <w:r w:rsidRPr="00AD6BDA">
        <w:t>ScottMadden is the management consulting firm that does what it takes to get it done right. We consult in two main areas—Energy and Corporate &amp; Shared Services. We deliver a broad array of consulting services ranging from strategic planning through implementation across many industries, business units, and functions. To learn more, visit  </w:t>
      </w:r>
      <w:hyperlink r:id="rId22" w:tgtFrame="_blank" w:history="1">
        <w:r w:rsidRPr="00AD6BDA">
          <w:rPr>
            <w:color w:val="5F6062"/>
          </w:rPr>
          <w:t>www.scottmadden.com</w:t>
        </w:r>
      </w:hyperlink>
      <w:r w:rsidRPr="00AD6BDA">
        <w:t> | </w:t>
      </w:r>
      <w:hyperlink r:id="rId23" w:tgtFrame="_blank" w:history="1">
        <w:r w:rsidRPr="00AD6BDA">
          <w:rPr>
            <w:color w:val="5F6062"/>
          </w:rPr>
          <w:t>Twitter</w:t>
        </w:r>
      </w:hyperlink>
      <w:r w:rsidRPr="00AD6BDA">
        <w:t> | </w:t>
      </w:r>
      <w:hyperlink r:id="rId24" w:tgtFrame="_blank" w:history="1">
        <w:r w:rsidRPr="00AD6BDA">
          <w:rPr>
            <w:color w:val="5F6062"/>
          </w:rPr>
          <w:t>Facebook</w:t>
        </w:r>
      </w:hyperlink>
      <w:r w:rsidRPr="00AD6BDA">
        <w:t> | </w:t>
      </w:r>
      <w:hyperlink r:id="rId25" w:tgtFrame="_blank" w:history="1">
        <w:r w:rsidRPr="00AD6BDA">
          <w:rPr>
            <w:color w:val="5F6062"/>
          </w:rPr>
          <w:t>LinkedIn</w:t>
        </w:r>
      </w:hyperlink>
      <w:r w:rsidRPr="00AD6BDA">
        <w:t>.</w:t>
      </w:r>
    </w:p>
    <w:p w14:paraId="61E8C1FD" w14:textId="77777777" w:rsidR="00AD6BDA" w:rsidRPr="00AD6BDA" w:rsidRDefault="00AD6BDA" w:rsidP="00AD6BDA">
      <w:pPr>
        <w:jc w:val="left"/>
        <w:textAlignment w:val="baseline"/>
        <w:rPr>
          <w:rFonts w:ascii="Segoe UI" w:hAnsi="Segoe UI" w:cs="Segoe UI"/>
          <w:sz w:val="18"/>
          <w:szCs w:val="18"/>
        </w:rPr>
      </w:pPr>
      <w:r w:rsidRPr="00AD6BDA">
        <w:rPr>
          <w:rFonts w:cs="Arial"/>
        </w:rPr>
        <w:t> </w:t>
      </w:r>
    </w:p>
    <w:p w14:paraId="3966FB20" w14:textId="5E05F6BA" w:rsidR="00AD6BDA" w:rsidRDefault="00B43DF3" w:rsidP="00B43DF3">
      <w:pPr>
        <w:pStyle w:val="MinorLeft"/>
        <w:rPr>
          <w:color w:val="5F6062"/>
        </w:rPr>
      </w:pPr>
      <w:r w:rsidRPr="00AD6BDA">
        <w:t>About </w:t>
      </w:r>
      <w:proofErr w:type="spellStart"/>
      <w:r w:rsidRPr="00AD6BDA">
        <w:t>Scott</w:t>
      </w:r>
      <w:r>
        <w:t>M</w:t>
      </w:r>
      <w:r w:rsidRPr="00AD6BDA">
        <w:t>adden’s</w:t>
      </w:r>
      <w:proofErr w:type="spellEnd"/>
      <w:r w:rsidRPr="00AD6BDA">
        <w:t> Energy Practice</w:t>
      </w:r>
    </w:p>
    <w:p w14:paraId="6B9A5D23" w14:textId="77777777" w:rsidR="00AD6BDA" w:rsidRDefault="00AD6BDA" w:rsidP="00B43DF3">
      <w:r w:rsidRPr="00AD6BDA">
        <w:t xml:space="preserve">We know energy from the ground up. Since 1983, we have served as energy consultants for hundreds of utilities, large and small, including </w:t>
      </w:r>
      <w:proofErr w:type="gramStart"/>
      <w:r w:rsidRPr="00AD6BDA">
        <w:t>all of</w:t>
      </w:r>
      <w:proofErr w:type="gramEnd"/>
      <w:r w:rsidRPr="00AD6BDA">
        <w:t xml:space="preserve"> the top 20. We focus on Transmission &amp; Distribution, the Grid Edge, Generation, Energy Markets, Rates &amp; Regulation, Enterprise Sustainability, and Corporate Services. Our broad, deep utility expertise is not theoretical—it is experience based. We have helped our clients develop and implement strategies, improve critical operations, reorganize departments and entire companies, and implement myriad initiatives.  </w:t>
      </w:r>
    </w:p>
    <w:p w14:paraId="1BF3E6BA" w14:textId="77777777" w:rsidR="00AD6BDA" w:rsidRDefault="00AD6BDA" w:rsidP="00AD6BDA">
      <w:pPr>
        <w:jc w:val="left"/>
        <w:textAlignment w:val="baseline"/>
        <w:rPr>
          <w:rFonts w:ascii="Segoe UI" w:hAnsi="Segoe UI" w:cs="Segoe UI"/>
          <w:sz w:val="18"/>
          <w:szCs w:val="18"/>
        </w:rPr>
      </w:pPr>
    </w:p>
    <w:p w14:paraId="76E72D55" w14:textId="4A3DB211" w:rsidR="00AD6BDA" w:rsidRPr="00AD6BDA" w:rsidRDefault="00B43DF3" w:rsidP="00B43DF3">
      <w:pPr>
        <w:pStyle w:val="MinorLeft"/>
        <w:rPr>
          <w:rFonts w:ascii="Segoe UI" w:hAnsi="Segoe UI" w:cs="Segoe UI"/>
          <w:sz w:val="18"/>
          <w:szCs w:val="18"/>
        </w:rPr>
      </w:pPr>
      <w:r w:rsidRPr="00AD6BDA">
        <w:t xml:space="preserve">About </w:t>
      </w:r>
      <w:r>
        <w:t>t</w:t>
      </w:r>
      <w:r w:rsidRPr="00AD6BDA">
        <w:t>he Authors</w:t>
      </w:r>
    </w:p>
    <w:p w14:paraId="244F61D5" w14:textId="0FCD3B11" w:rsidR="00CC7026" w:rsidRPr="00CC7026" w:rsidRDefault="00232BDA" w:rsidP="00AD6BDA">
      <w:hyperlink r:id="rId26" w:history="1">
        <w:r w:rsidR="000F14F4" w:rsidRPr="00905047">
          <w:rPr>
            <w:rStyle w:val="Hyperlink"/>
          </w:rPr>
          <w:t>Paul Quinlan</w:t>
        </w:r>
      </w:hyperlink>
      <w:r w:rsidR="000F14F4">
        <w:t xml:space="preserve"> is </w:t>
      </w:r>
      <w:proofErr w:type="spellStart"/>
      <w:r w:rsidR="000F14F4">
        <w:t>ScottMadden’s</w:t>
      </w:r>
      <w:proofErr w:type="spellEnd"/>
      <w:r w:rsidR="000F14F4">
        <w:t xml:space="preserve"> clean tech manager. </w:t>
      </w:r>
      <w:hyperlink r:id="rId27" w:history="1">
        <w:r w:rsidR="000F14F4" w:rsidRPr="00C808DE">
          <w:rPr>
            <w:rStyle w:val="Hyperlink"/>
          </w:rPr>
          <w:t>Mike Kerrigan</w:t>
        </w:r>
      </w:hyperlink>
      <w:r w:rsidR="000F14F4">
        <w:t xml:space="preserve"> is </w:t>
      </w:r>
      <w:r w:rsidR="00FB64D5">
        <w:t>a senior</w:t>
      </w:r>
      <w:r w:rsidR="000F14F4">
        <w:t xml:space="preserve"> </w:t>
      </w:r>
      <w:r w:rsidR="006866C1">
        <w:t>associate at the firm.</w:t>
      </w:r>
    </w:p>
    <w:p w14:paraId="1468E9CB" w14:textId="77777777" w:rsidR="004F7FD4" w:rsidRPr="00CC7026" w:rsidRDefault="004F7FD4" w:rsidP="00AD6BDA">
      <w:pPr>
        <w:tabs>
          <w:tab w:val="left" w:pos="1034"/>
        </w:tabs>
      </w:pPr>
    </w:p>
    <w:sectPr w:rsidR="004F7FD4" w:rsidRPr="00CC7026" w:rsidSect="003D323F">
      <w:headerReference w:type="default" r:id="rId28"/>
      <w:footerReference w:type="default" r:id="rId29"/>
      <w:type w:val="continuous"/>
      <w:pgSz w:w="12240" w:h="15840" w:code="1"/>
      <w:pgMar w:top="1440" w:right="1080" w:bottom="1656" w:left="108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BA8C5" w14:textId="77777777" w:rsidR="00AF058C" w:rsidRDefault="00AF058C" w:rsidP="00272D8F">
      <w:r>
        <w:separator/>
      </w:r>
    </w:p>
  </w:endnote>
  <w:endnote w:type="continuationSeparator" w:id="0">
    <w:p w14:paraId="17806599" w14:textId="77777777" w:rsidR="00AF058C" w:rsidRDefault="00AF058C" w:rsidP="00272D8F">
      <w:r>
        <w:continuationSeparator/>
      </w:r>
    </w:p>
  </w:endnote>
  <w:endnote w:type="continuationNotice" w:id="1">
    <w:p w14:paraId="59A0229F" w14:textId="77777777" w:rsidR="00AF058C" w:rsidRDefault="00AF05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F3FE3" w14:textId="77777777" w:rsidR="009E7C7C" w:rsidRPr="000728A7" w:rsidRDefault="000728A7" w:rsidP="000728A7">
    <w:pPr>
      <w:pStyle w:val="Footer"/>
      <w:jc w:val="left"/>
      <w:rPr>
        <w:color w:val="5F6062" w:themeColor="accent1"/>
      </w:rPr>
    </w:pPr>
    <w:r w:rsidRPr="000728A7">
      <w:rPr>
        <w:noProof/>
        <w:color w:val="5F6062" w:themeColor="accent1"/>
      </w:rPr>
      <mc:AlternateContent>
        <mc:Choice Requires="wps">
          <w:drawing>
            <wp:anchor distT="45720" distB="45720" distL="114300" distR="114300" simplePos="0" relativeHeight="251657216" behindDoc="1" locked="0" layoutInCell="1" allowOverlap="1" wp14:anchorId="30E534B0" wp14:editId="642309FE">
              <wp:simplePos x="0" y="0"/>
              <wp:positionH relativeFrom="column">
                <wp:posOffset>-90805</wp:posOffset>
              </wp:positionH>
              <wp:positionV relativeFrom="page">
                <wp:posOffset>9652635</wp:posOffset>
              </wp:positionV>
              <wp:extent cx="2560320" cy="140970"/>
              <wp:effectExtent l="0" t="0" r="0" b="11430"/>
              <wp:wrapTight wrapText="bothSides">
                <wp:wrapPolygon edited="0">
                  <wp:start x="482" y="0"/>
                  <wp:lineTo x="482" y="20432"/>
                  <wp:lineTo x="21054" y="20432"/>
                  <wp:lineTo x="21054" y="0"/>
                  <wp:lineTo x="482" y="0"/>
                </wp:wrapPolygon>
              </wp:wrapTight>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970"/>
                      </a:xfrm>
                      <a:prstGeom prst="rect">
                        <a:avLst/>
                      </a:prstGeom>
                      <a:noFill/>
                      <a:ln w="9525">
                        <a:noFill/>
                        <a:miter lim="800000"/>
                        <a:headEnd/>
                        <a:tailEnd/>
                      </a:ln>
                    </wps:spPr>
                    <wps:txbx>
                      <w:txbxContent>
                        <w:p w14:paraId="78B10764" w14:textId="77777777" w:rsidR="000728A7" w:rsidRPr="000728A7" w:rsidRDefault="000728A7" w:rsidP="000728A7">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005A1CDE">
                            <w:rPr>
                              <w:color w:val="5F6062" w:themeColor="accent1"/>
                              <w:sz w:val="14"/>
                              <w:szCs w:val="14"/>
                            </w:rPr>
                            <w:t xml:space="preserve"> 20</w:t>
                          </w:r>
                          <w:r w:rsidR="00902801">
                            <w:rPr>
                              <w:color w:val="5F6062" w:themeColor="accent1"/>
                              <w:sz w:val="14"/>
                              <w:szCs w:val="14"/>
                            </w:rPr>
                            <w:t>2</w:t>
                          </w:r>
                          <w:r w:rsidR="00456553">
                            <w:rPr>
                              <w:color w:val="5F6062" w:themeColor="accent1"/>
                              <w:sz w:val="14"/>
                              <w:szCs w:val="14"/>
                            </w:rPr>
                            <w:t>1</w:t>
                          </w:r>
                          <w:r w:rsidRPr="000728A7">
                            <w:rPr>
                              <w:color w:val="5F6062" w:themeColor="accent1"/>
                              <w:sz w:val="14"/>
                              <w:szCs w:val="14"/>
                            </w:rPr>
                            <w:t xml:space="preserve"> by ScottMadden, Inc. All rights reserved.</w:t>
                          </w:r>
                        </w:p>
                      </w:txbxContent>
                    </wps:txbx>
                    <wps:bodyPr rot="0" vert="horz" wrap="square" lIns="91440" tIns="0" rIns="91440" bIns="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0E534B0" id="_x0000_t202" coordsize="21600,21600" o:spt="202" path="m,l,21600r21600,l21600,xe">
              <v:stroke joinstyle="miter"/>
              <v:path gradientshapeok="t" o:connecttype="rect"/>
            </v:shapetype>
            <v:shape id="_x0000_s1028" type="#_x0000_t202" style="position:absolute;margin-left:-7.15pt;margin-top:760.05pt;width:201.6pt;height:11.1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" filled="f" stroked="f">
              <v:textbox inset=",0,,0">
                <w:txbxContent>
                  <w:p w14:paraId="78B10764" w14:textId="77777777" w:rsidR="000728A7" w:rsidRPr="000728A7" w:rsidRDefault="000728A7" w:rsidP="000728A7">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005A1CDE">
                      <w:rPr>
                        <w:color w:val="5F6062" w:themeColor="accent1"/>
                        <w:sz w:val="14"/>
                        <w:szCs w:val="14"/>
                      </w:rPr>
                      <w:t xml:space="preserve"> 20</w:t>
                    </w:r>
                    <w:r w:rsidR="00902801">
                      <w:rPr>
                        <w:color w:val="5F6062" w:themeColor="accent1"/>
                        <w:sz w:val="14"/>
                        <w:szCs w:val="14"/>
                      </w:rPr>
                      <w:t>2</w:t>
                    </w:r>
                    <w:r w:rsidR="00456553">
                      <w:rPr>
                        <w:color w:val="5F6062" w:themeColor="accent1"/>
                        <w:sz w:val="14"/>
                        <w:szCs w:val="14"/>
                      </w:rPr>
                      <w:t>1</w:t>
                    </w:r>
                    <w:r w:rsidRPr="000728A7">
                      <w:rPr>
                        <w:color w:val="5F6062" w:themeColor="accent1"/>
                        <w:sz w:val="14"/>
                        <w:szCs w:val="14"/>
                      </w:rPr>
                      <w:t xml:space="preserve"> by ScottMadden, Inc. All rights reserved.</w:t>
                    </w:r>
                  </w:p>
                </w:txbxContent>
              </v:textbox>
              <w10:wrap type="tight" anchory="page"/>
            </v:shape>
          </w:pict>
        </mc:Fallback>
      </mc:AlternateContent>
    </w:r>
    <w:r w:rsidRPr="000728A7">
      <w:rPr>
        <w:color w:val="5F6062" w:themeColor="accent1"/>
      </w:rPr>
      <w:fldChar w:fldCharType="begin"/>
    </w:r>
    <w:r w:rsidRPr="000728A7">
      <w:rPr>
        <w:color w:val="5F6062" w:themeColor="accent1"/>
      </w:rPr>
      <w:instrText xml:space="preserve"> PAGE   \* MERGEFORMAT </w:instrText>
    </w:r>
    <w:r w:rsidRPr="000728A7">
      <w:rPr>
        <w:color w:val="5F6062" w:themeColor="accent1"/>
      </w:rPr>
      <w:fldChar w:fldCharType="separate"/>
    </w:r>
    <w:r w:rsidR="00DA4C53">
      <w:rPr>
        <w:noProof/>
        <w:color w:val="5F6062" w:themeColor="accent1"/>
      </w:rPr>
      <w:t>1</w:t>
    </w:r>
    <w:r w:rsidRPr="000728A7">
      <w:rPr>
        <w:color w:val="5F6062" w:themeColor="accent1"/>
      </w:rPr>
      <w:fldChar w:fldCharType="end"/>
    </w:r>
    <w:r w:rsidRPr="000728A7">
      <w:rPr>
        <w:noProof/>
        <w:color w:val="5F6062" w:themeColor="accent1"/>
      </w:rPr>
      <w:drawing>
        <wp:anchor distT="0" distB="0" distL="114300" distR="114300" simplePos="0" relativeHeight="251661312" behindDoc="1" locked="1" layoutInCell="1" allowOverlap="1" wp14:anchorId="2F434F1C" wp14:editId="0CC5BF87">
          <wp:simplePos x="0" y="0"/>
          <wp:positionH relativeFrom="column">
            <wp:posOffset>2614930</wp:posOffset>
          </wp:positionH>
          <wp:positionV relativeFrom="paragraph">
            <wp:posOffset>-325120</wp:posOffset>
          </wp:positionV>
          <wp:extent cx="4006215" cy="638175"/>
          <wp:effectExtent l="0" t="0" r="0" b="9525"/>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Brady\Desktop\MADDEN Template\SM_WhitePaper-bottom.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4006215" cy="63817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FDF4D0" w14:textId="77777777" w:rsidR="004F7FD4" w:rsidRPr="004F7FD4" w:rsidRDefault="004F7FD4" w:rsidP="004F7FD4">
    <w:pPr>
      <w:pStyle w:val="Footer"/>
      <w:jc w:val="left"/>
      <w:rPr>
        <w:color w:val="5F6062" w:themeColor="accent1"/>
      </w:rPr>
    </w:pPr>
    <w:r w:rsidRPr="000728A7">
      <w:rPr>
        <w:noProof/>
        <w:color w:val="5F6062" w:themeColor="accent1"/>
      </w:rPr>
      <mc:AlternateContent>
        <mc:Choice Requires="wps">
          <w:drawing>
            <wp:anchor distT="45720" distB="45720" distL="114300" distR="114300" simplePos="0" relativeHeight="251658242" behindDoc="1" locked="0" layoutInCell="1" allowOverlap="1" wp14:anchorId="327292F5" wp14:editId="707C95BF">
              <wp:simplePos x="0" y="0"/>
              <wp:positionH relativeFrom="column">
                <wp:posOffset>-90805</wp:posOffset>
              </wp:positionH>
              <wp:positionV relativeFrom="page">
                <wp:posOffset>9652635</wp:posOffset>
              </wp:positionV>
              <wp:extent cx="2560320" cy="140970"/>
              <wp:effectExtent l="0" t="0" r="0" b="11430"/>
              <wp:wrapTight wrapText="bothSides">
                <wp:wrapPolygon edited="0">
                  <wp:start x="482" y="0"/>
                  <wp:lineTo x="482" y="20432"/>
                  <wp:lineTo x="21054" y="20432"/>
                  <wp:lineTo x="21054" y="0"/>
                  <wp:lineTo x="482" y="0"/>
                </wp:wrapPolygon>
              </wp:wrapTight>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970"/>
                      </a:xfrm>
                      <a:prstGeom prst="rect">
                        <a:avLst/>
                      </a:prstGeom>
                      <a:noFill/>
                      <a:ln w="9525">
                        <a:noFill/>
                        <a:miter lim="800000"/>
                        <a:headEnd/>
                        <a:tailEnd/>
                      </a:ln>
                    </wps:spPr>
                    <wps:txbx>
                      <w:txbxContent>
                        <w:p w14:paraId="4A10FBD3" w14:textId="77777777" w:rsidR="004F7FD4" w:rsidRPr="000728A7" w:rsidRDefault="004F7FD4" w:rsidP="004F7FD4">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Pr="000728A7">
                            <w:rPr>
                              <w:color w:val="5F6062" w:themeColor="accent1"/>
                              <w:sz w:val="14"/>
                              <w:szCs w:val="14"/>
                            </w:rPr>
                            <w:t xml:space="preserve"> 20</w:t>
                          </w:r>
                          <w:r w:rsidR="00902801">
                            <w:rPr>
                              <w:color w:val="5F6062" w:themeColor="accent1"/>
                              <w:sz w:val="14"/>
                              <w:szCs w:val="14"/>
                            </w:rPr>
                            <w:t>2</w:t>
                          </w:r>
                          <w:r w:rsidR="00456553">
                            <w:rPr>
                              <w:color w:val="5F6062" w:themeColor="accent1"/>
                              <w:sz w:val="14"/>
                              <w:szCs w:val="14"/>
                            </w:rPr>
                            <w:t>1</w:t>
                          </w:r>
                          <w:r w:rsidRPr="000728A7">
                            <w:rPr>
                              <w:color w:val="5F6062" w:themeColor="accent1"/>
                              <w:sz w:val="14"/>
                              <w:szCs w:val="14"/>
                            </w:rPr>
                            <w:t xml:space="preserve"> by ScottMadden, Inc. All rights reserved.</w:t>
                          </w:r>
                        </w:p>
                      </w:txbxContent>
                    </wps:txbx>
                    <wps:bodyPr rot="0" vert="horz" wrap="square" lIns="91440" tIns="0" rIns="91440" bIns="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27292F5" id="_x0000_t202" coordsize="21600,21600" o:spt="202" path="m,l,21600r21600,l21600,xe">
              <v:stroke joinstyle="miter"/>
              <v:path gradientshapeok="t" o:connecttype="rect"/>
            </v:shapetype>
            <v:shape id="_x0000_s1029" type="#_x0000_t202" style="position:absolute;margin-left:-7.15pt;margin-top:760.05pt;width:201.6pt;height:11.1pt;z-index:-251658238;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" filled="f" stroked="f">
              <v:textbox inset=",0,,0">
                <w:txbxContent>
                  <w:p w14:paraId="4A10FBD3" w14:textId="77777777" w:rsidR="004F7FD4" w:rsidRPr="000728A7" w:rsidRDefault="004F7FD4" w:rsidP="004F7FD4">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Pr="000728A7">
                      <w:rPr>
                        <w:color w:val="5F6062" w:themeColor="accent1"/>
                        <w:sz w:val="14"/>
                        <w:szCs w:val="14"/>
                      </w:rPr>
                      <w:t xml:space="preserve"> 20</w:t>
                    </w:r>
                    <w:r w:rsidR="00902801">
                      <w:rPr>
                        <w:color w:val="5F6062" w:themeColor="accent1"/>
                        <w:sz w:val="14"/>
                        <w:szCs w:val="14"/>
                      </w:rPr>
                      <w:t>2</w:t>
                    </w:r>
                    <w:r w:rsidR="00456553">
                      <w:rPr>
                        <w:color w:val="5F6062" w:themeColor="accent1"/>
                        <w:sz w:val="14"/>
                        <w:szCs w:val="14"/>
                      </w:rPr>
                      <w:t>1</w:t>
                    </w:r>
                    <w:r w:rsidRPr="000728A7">
                      <w:rPr>
                        <w:color w:val="5F6062" w:themeColor="accent1"/>
                        <w:sz w:val="14"/>
                        <w:szCs w:val="14"/>
                      </w:rPr>
                      <w:t xml:space="preserve"> by ScottMadden, Inc. All rights reserved.</w:t>
                    </w:r>
                  </w:p>
                </w:txbxContent>
              </v:textbox>
              <w10:wrap type="tight" anchory="page"/>
            </v:shape>
          </w:pict>
        </mc:Fallback>
      </mc:AlternateContent>
    </w:r>
    <w:r w:rsidRPr="000728A7">
      <w:rPr>
        <w:color w:val="5F6062" w:themeColor="accent1"/>
      </w:rPr>
      <w:fldChar w:fldCharType="begin"/>
    </w:r>
    <w:r w:rsidRPr="000728A7">
      <w:rPr>
        <w:color w:val="5F6062" w:themeColor="accent1"/>
      </w:rPr>
      <w:instrText xml:space="preserve"> PAGE   \* MERGEFORMAT </w:instrText>
    </w:r>
    <w:r w:rsidRPr="000728A7">
      <w:rPr>
        <w:color w:val="5F6062" w:themeColor="accent1"/>
      </w:rPr>
      <w:fldChar w:fldCharType="separate"/>
    </w:r>
    <w:r w:rsidR="7B646C7B">
      <w:rPr>
        <w:noProof/>
        <w:color w:val="5F6062" w:themeColor="accent1"/>
      </w:rPr>
      <w:t>2</w:t>
    </w:r>
    <w:r w:rsidRPr="000728A7">
      <w:rPr>
        <w:color w:val="5F6062" w:themeColor="accent1"/>
      </w:rPr>
      <w:fldChar w:fldCharType="end"/>
    </w:r>
    <w:r w:rsidRPr="000728A7">
      <w:rPr>
        <w:noProof/>
        <w:color w:val="5F6062" w:themeColor="accent1"/>
      </w:rPr>
      <w:drawing>
        <wp:anchor distT="0" distB="0" distL="114300" distR="114300" simplePos="0" relativeHeight="251658245" behindDoc="1" locked="1" layoutInCell="1" allowOverlap="1" wp14:anchorId="7689AAEF" wp14:editId="5E76F31C">
          <wp:simplePos x="0" y="0"/>
          <wp:positionH relativeFrom="column">
            <wp:posOffset>2614930</wp:posOffset>
          </wp:positionH>
          <wp:positionV relativeFrom="paragraph">
            <wp:posOffset>-325120</wp:posOffset>
          </wp:positionV>
          <wp:extent cx="4006215" cy="638175"/>
          <wp:effectExtent l="0" t="0" r="0" b="9525"/>
          <wp:wrapNone/>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Brady\Desktop\MADDEN Template\SM_WhitePaper-bottom.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4006215" cy="63817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FEBC9" w14:textId="77777777" w:rsidR="00AF058C" w:rsidRDefault="00AF058C" w:rsidP="00272D8F">
      <w:r>
        <w:separator/>
      </w:r>
    </w:p>
  </w:footnote>
  <w:footnote w:type="continuationSeparator" w:id="0">
    <w:p w14:paraId="5C5D1F59" w14:textId="77777777" w:rsidR="00AF058C" w:rsidRDefault="00AF058C" w:rsidP="00272D8F">
      <w:r>
        <w:continuationSeparator/>
      </w:r>
    </w:p>
  </w:footnote>
  <w:footnote w:type="continuationNotice" w:id="1">
    <w:p w14:paraId="401E2979" w14:textId="77777777" w:rsidR="00AF058C" w:rsidRDefault="00AF058C"/>
  </w:footnote>
  <w:footnote w:id="2">
    <w:p w14:paraId="680C8B8E" w14:textId="26200A06" w:rsidR="0000128D" w:rsidRPr="00357C94" w:rsidRDefault="00585976">
      <w:pPr>
        <w:pStyle w:val="FootnoteText"/>
        <w:rPr>
          <w:sz w:val="22"/>
          <w:szCs w:val="22"/>
        </w:rPr>
      </w:pPr>
      <w:r w:rsidRPr="00357C94">
        <w:rPr>
          <w:rStyle w:val="FootnoteReference"/>
          <w:sz w:val="22"/>
          <w:szCs w:val="22"/>
        </w:rPr>
        <w:footnoteRef/>
      </w:r>
      <w:r w:rsidRPr="00357C94">
        <w:rPr>
          <w:sz w:val="22"/>
          <w:szCs w:val="22"/>
        </w:rPr>
        <w:t xml:space="preserve"> </w:t>
      </w:r>
      <w:r w:rsidR="000304CB" w:rsidRPr="00357C94">
        <w:rPr>
          <w:sz w:val="22"/>
          <w:szCs w:val="22"/>
        </w:rPr>
        <w:t xml:space="preserve">For further discussion on energy efficiency </w:t>
      </w:r>
      <w:r w:rsidR="00A26303" w:rsidRPr="00357C94">
        <w:rPr>
          <w:sz w:val="22"/>
          <w:szCs w:val="22"/>
        </w:rPr>
        <w:t>program</w:t>
      </w:r>
      <w:r w:rsidR="00D83E1F" w:rsidRPr="00357C94">
        <w:rPr>
          <w:sz w:val="22"/>
          <w:szCs w:val="22"/>
        </w:rPr>
        <w:t>s</w:t>
      </w:r>
      <w:r w:rsidR="00A26303" w:rsidRPr="00357C94">
        <w:rPr>
          <w:sz w:val="22"/>
          <w:szCs w:val="22"/>
        </w:rPr>
        <w:t xml:space="preserve"> and</w:t>
      </w:r>
      <w:r w:rsidR="000304CB" w:rsidRPr="00357C94">
        <w:rPr>
          <w:sz w:val="22"/>
          <w:szCs w:val="22"/>
        </w:rPr>
        <w:t xml:space="preserve"> deployment, see </w:t>
      </w:r>
      <w:proofErr w:type="spellStart"/>
      <w:r w:rsidR="000304CB" w:rsidRPr="00357C94">
        <w:rPr>
          <w:sz w:val="22"/>
          <w:szCs w:val="22"/>
        </w:rPr>
        <w:t>ScottMadden’s</w:t>
      </w:r>
      <w:proofErr w:type="spellEnd"/>
      <w:r w:rsidR="003D6F5E" w:rsidRPr="00357C94">
        <w:rPr>
          <w:sz w:val="22"/>
          <w:szCs w:val="22"/>
        </w:rPr>
        <w:t xml:space="preserve"> “</w:t>
      </w:r>
      <w:r w:rsidR="00A26303" w:rsidRPr="00357C94">
        <w:rPr>
          <w:sz w:val="22"/>
          <w:szCs w:val="22"/>
        </w:rPr>
        <w:t xml:space="preserve">Six Keys for Utilities to Successfully Scale Energy Efficiency Programs” </w:t>
      </w:r>
      <w:r w:rsidR="003D6F5E" w:rsidRPr="00357C94">
        <w:rPr>
          <w:sz w:val="22"/>
          <w:szCs w:val="22"/>
        </w:rPr>
        <w:t xml:space="preserve">at </w:t>
      </w:r>
      <w:hyperlink r:id="rId1" w:history="1">
        <w:r w:rsidR="0000128D" w:rsidRPr="00357C94">
          <w:rPr>
            <w:rStyle w:val="Hyperlink"/>
            <w:sz w:val="22"/>
            <w:szCs w:val="22"/>
          </w:rPr>
          <w:t>https://www.scottmadden.com/insight/six-keys-for-utilities-to-successfully-scale-energy-efficiency-programs/</w:t>
        </w:r>
      </w:hyperlink>
    </w:p>
  </w:footnote>
  <w:footnote w:id="3">
    <w:p w14:paraId="415D73D9" w14:textId="4C900DDC" w:rsidR="00DE4F98" w:rsidRPr="00357C94" w:rsidRDefault="00DE4F98" w:rsidP="00DE4F98">
      <w:pPr>
        <w:pStyle w:val="FootnoteText"/>
        <w:rPr>
          <w:sz w:val="22"/>
          <w:szCs w:val="22"/>
        </w:rPr>
      </w:pPr>
      <w:r w:rsidRPr="00357C94">
        <w:rPr>
          <w:rStyle w:val="FootnoteReference"/>
          <w:sz w:val="22"/>
          <w:szCs w:val="22"/>
        </w:rPr>
        <w:footnoteRef/>
      </w:r>
      <w:r w:rsidRPr="00357C94">
        <w:rPr>
          <w:sz w:val="22"/>
          <w:szCs w:val="22"/>
        </w:rPr>
        <w:t xml:space="preserve"> </w:t>
      </w:r>
      <w:r w:rsidR="00C62265" w:rsidRPr="00357C94">
        <w:rPr>
          <w:sz w:val="22"/>
          <w:szCs w:val="22"/>
        </w:rPr>
        <w:t>EIA</w:t>
      </w:r>
      <w:r w:rsidRPr="00357C94">
        <w:rPr>
          <w:sz w:val="22"/>
          <w:szCs w:val="22"/>
        </w:rPr>
        <w:t xml:space="preserve">, </w:t>
      </w:r>
      <w:r w:rsidR="003A4C29" w:rsidRPr="00357C94">
        <w:rPr>
          <w:sz w:val="22"/>
          <w:szCs w:val="22"/>
        </w:rPr>
        <w:t>Monthly Energy Review</w:t>
      </w:r>
    </w:p>
  </w:footnote>
  <w:footnote w:id="4">
    <w:p w14:paraId="60089B36" w14:textId="354AD112" w:rsidR="002149AA" w:rsidRPr="00357C94" w:rsidRDefault="002149AA">
      <w:pPr>
        <w:pStyle w:val="FootnoteText"/>
        <w:rPr>
          <w:sz w:val="22"/>
          <w:szCs w:val="22"/>
        </w:rPr>
      </w:pPr>
      <w:r w:rsidRPr="00357C94">
        <w:rPr>
          <w:rStyle w:val="FootnoteReference"/>
          <w:sz w:val="22"/>
          <w:szCs w:val="22"/>
        </w:rPr>
        <w:footnoteRef/>
      </w:r>
      <w:r w:rsidRPr="00357C94">
        <w:rPr>
          <w:sz w:val="22"/>
          <w:szCs w:val="22"/>
        </w:rPr>
        <w:t xml:space="preserve"> </w:t>
      </w:r>
      <w:r w:rsidR="003C5B63" w:rsidRPr="00357C94">
        <w:rPr>
          <w:sz w:val="22"/>
          <w:szCs w:val="22"/>
        </w:rPr>
        <w:t xml:space="preserve">The Paris Climate Agreement is an international environmental accord designed to substantially reduce global greenhouse gas emissions </w:t>
      </w:r>
      <w:proofErr w:type="gramStart"/>
      <w:r w:rsidR="003C5B63" w:rsidRPr="00357C94">
        <w:rPr>
          <w:sz w:val="22"/>
          <w:szCs w:val="22"/>
        </w:rPr>
        <w:t>in an effort to</w:t>
      </w:r>
      <w:proofErr w:type="gramEnd"/>
      <w:r w:rsidR="003C5B63" w:rsidRPr="00357C94">
        <w:rPr>
          <w:sz w:val="22"/>
          <w:szCs w:val="22"/>
        </w:rPr>
        <w:t xml:space="preserve"> limit the global temperature increase to two degrees Celsius above pre-industrial levels.</w:t>
      </w:r>
      <w:r w:rsidR="00181F3F" w:rsidRPr="00357C94">
        <w:rPr>
          <w:sz w:val="22"/>
          <w:szCs w:val="22"/>
        </w:rPr>
        <w:t xml:space="preserve"> </w:t>
      </w:r>
      <w:r w:rsidR="009C2F5C" w:rsidRPr="00357C94">
        <w:rPr>
          <w:sz w:val="22"/>
          <w:szCs w:val="22"/>
        </w:rPr>
        <w:t>In June 2017, President Trump announced the United States would exit the Paris Climate Agreement.</w:t>
      </w:r>
      <w:r w:rsidR="00181F3F" w:rsidRPr="00357C94">
        <w:rPr>
          <w:sz w:val="22"/>
          <w:szCs w:val="22"/>
        </w:rPr>
        <w:t xml:space="preserve"> </w:t>
      </w:r>
      <w:r w:rsidR="009C2F5C" w:rsidRPr="00357C94">
        <w:rPr>
          <w:sz w:val="22"/>
          <w:szCs w:val="22"/>
        </w:rPr>
        <w:t>The United States officially withdr</w:t>
      </w:r>
      <w:r w:rsidR="00DE32F3" w:rsidRPr="00357C94">
        <w:rPr>
          <w:sz w:val="22"/>
          <w:szCs w:val="22"/>
        </w:rPr>
        <w:t>e</w:t>
      </w:r>
      <w:r w:rsidR="009C2F5C" w:rsidRPr="00357C94">
        <w:rPr>
          <w:sz w:val="22"/>
          <w:szCs w:val="22"/>
        </w:rPr>
        <w:t>w</w:t>
      </w:r>
      <w:r w:rsidR="00DE32F3" w:rsidRPr="00357C94">
        <w:rPr>
          <w:sz w:val="22"/>
          <w:szCs w:val="22"/>
        </w:rPr>
        <w:t xml:space="preserve"> </w:t>
      </w:r>
      <w:r w:rsidR="009C2F5C" w:rsidRPr="00357C94">
        <w:rPr>
          <w:sz w:val="22"/>
          <w:szCs w:val="22"/>
        </w:rPr>
        <w:t xml:space="preserve">in November 2020, but President Biden signed an executive order on his first day </w:t>
      </w:r>
      <w:r w:rsidR="00DE32F3" w:rsidRPr="00357C94">
        <w:rPr>
          <w:sz w:val="22"/>
          <w:szCs w:val="22"/>
        </w:rPr>
        <w:t xml:space="preserve">in office directing the United States </w:t>
      </w:r>
      <w:r w:rsidR="004A5FCC" w:rsidRPr="00357C94">
        <w:rPr>
          <w:sz w:val="22"/>
          <w:szCs w:val="22"/>
        </w:rPr>
        <w:t xml:space="preserve">to </w:t>
      </w:r>
      <w:r w:rsidR="00DE32F3" w:rsidRPr="00357C94">
        <w:rPr>
          <w:sz w:val="22"/>
          <w:szCs w:val="22"/>
        </w:rPr>
        <w:t xml:space="preserve">rejoin the </w:t>
      </w:r>
      <w:r w:rsidR="00B628FC" w:rsidRPr="00357C94">
        <w:rPr>
          <w:sz w:val="22"/>
          <w:szCs w:val="22"/>
        </w:rPr>
        <w:t>Agreement.</w:t>
      </w:r>
      <w:r w:rsidR="00DE32F3" w:rsidRPr="00357C94">
        <w:rPr>
          <w:sz w:val="22"/>
          <w:szCs w:val="22"/>
        </w:rPr>
        <w:t xml:space="preserve"> </w:t>
      </w:r>
    </w:p>
  </w:footnote>
  <w:footnote w:id="5">
    <w:p w14:paraId="39321F9A" w14:textId="39629654" w:rsidR="003A4C29" w:rsidRPr="00357C94" w:rsidRDefault="003A4C29" w:rsidP="003A4C29">
      <w:pPr>
        <w:pStyle w:val="FootnoteText"/>
        <w:rPr>
          <w:sz w:val="22"/>
          <w:szCs w:val="22"/>
        </w:rPr>
      </w:pPr>
      <w:r w:rsidRPr="00357C94">
        <w:rPr>
          <w:rStyle w:val="FootnoteReference"/>
          <w:sz w:val="22"/>
          <w:szCs w:val="22"/>
        </w:rPr>
        <w:footnoteRef/>
      </w:r>
      <w:r w:rsidRPr="00357C94">
        <w:rPr>
          <w:sz w:val="22"/>
          <w:szCs w:val="22"/>
        </w:rPr>
        <w:t xml:space="preserve"> </w:t>
      </w:r>
      <w:r w:rsidR="00B906B5" w:rsidRPr="00357C94">
        <w:rPr>
          <w:sz w:val="22"/>
          <w:szCs w:val="22"/>
        </w:rPr>
        <w:t xml:space="preserve">EIA, </w:t>
      </w:r>
      <w:r w:rsidR="00B90C3D" w:rsidRPr="00357C94">
        <w:rPr>
          <w:sz w:val="22"/>
          <w:szCs w:val="22"/>
        </w:rPr>
        <w:t>U.S. Energy Related Carbon Dioxide Emissions,</w:t>
      </w:r>
      <w:r w:rsidR="00DD46D5" w:rsidRPr="00357C94">
        <w:rPr>
          <w:sz w:val="22"/>
          <w:szCs w:val="22"/>
        </w:rPr>
        <w:t xml:space="preserve"> September </w:t>
      </w:r>
      <w:r w:rsidR="007405E4" w:rsidRPr="00357C94">
        <w:rPr>
          <w:sz w:val="22"/>
          <w:szCs w:val="22"/>
        </w:rPr>
        <w:t>2020</w:t>
      </w:r>
    </w:p>
  </w:footnote>
  <w:footnote w:id="6">
    <w:p w14:paraId="7D309EC9" w14:textId="4D487509" w:rsidR="005A0D4A" w:rsidRPr="00357C94" w:rsidRDefault="00B47349" w:rsidP="00B47349">
      <w:pPr>
        <w:rPr>
          <w:rFonts w:asciiTheme="minorHAnsi" w:hAnsiTheme="minorHAnsi" w:cstheme="minorHAnsi"/>
        </w:rPr>
      </w:pPr>
      <w:r w:rsidRPr="00357C94">
        <w:rPr>
          <w:rStyle w:val="FootnoteReference"/>
        </w:rPr>
        <w:footnoteRef/>
      </w:r>
      <w:r w:rsidRPr="00357C94">
        <w:t xml:space="preserve"> </w:t>
      </w:r>
      <w:r w:rsidRPr="00357C94">
        <w:rPr>
          <w:rFonts w:cstheme="minorHAnsi"/>
        </w:rPr>
        <w:t xml:space="preserve">More specifically, the </w:t>
      </w:r>
      <w:r w:rsidRPr="00357C94">
        <w:rPr>
          <w:rFonts w:asciiTheme="minorHAnsi" w:hAnsiTheme="minorHAnsi" w:cstheme="minorHAnsi"/>
        </w:rPr>
        <w:t xml:space="preserve">methodology calculated </w:t>
      </w:r>
      <w:r w:rsidR="00C90939" w:rsidRPr="00357C94">
        <w:rPr>
          <w:rFonts w:asciiTheme="minorHAnsi" w:hAnsiTheme="minorHAnsi" w:cstheme="minorHAnsi"/>
        </w:rPr>
        <w:t>carbon-emission</w:t>
      </w:r>
      <w:r w:rsidRPr="00357C94">
        <w:rPr>
          <w:rFonts w:asciiTheme="minorHAnsi" w:hAnsiTheme="minorHAnsi" w:cstheme="minorHAnsi"/>
        </w:rPr>
        <w:t xml:space="preserve">s intensity of the power sector in a given baseline year and then forecasted emissions in future years assuming the baseline carbon intensity was held constant. The reductions were calculated as the difference between the forecasted and actual emissions. It is worth noting that all emissions and generation measurements were based on intra-state generation and did not </w:t>
      </w:r>
      <w:proofErr w:type="gramStart"/>
      <w:r w:rsidRPr="00357C94">
        <w:rPr>
          <w:rFonts w:asciiTheme="minorHAnsi" w:hAnsiTheme="minorHAnsi" w:cstheme="minorHAnsi"/>
        </w:rPr>
        <w:t>take into account</w:t>
      </w:r>
      <w:proofErr w:type="gramEnd"/>
      <w:r w:rsidRPr="00357C94">
        <w:rPr>
          <w:rFonts w:asciiTheme="minorHAnsi" w:hAnsiTheme="minorHAnsi" w:cstheme="minorHAnsi"/>
        </w:rPr>
        <w:t xml:space="preserve"> energy imports.</w:t>
      </w:r>
    </w:p>
  </w:footnote>
  <w:footnote w:id="7">
    <w:p w14:paraId="708A8981" w14:textId="40E7D7AC" w:rsidR="006877FC" w:rsidRPr="00357C94" w:rsidRDefault="006877FC" w:rsidP="00045B58">
      <w:pPr>
        <w:jc w:val="left"/>
        <w:rPr>
          <w:rFonts w:cs="Arial"/>
        </w:rPr>
      </w:pPr>
      <w:r w:rsidRPr="00357C94">
        <w:rPr>
          <w:rStyle w:val="FootnoteReference"/>
        </w:rPr>
        <w:footnoteRef/>
      </w:r>
      <w:r w:rsidRPr="00357C94">
        <w:t xml:space="preserve"> </w:t>
      </w:r>
      <w:r w:rsidRPr="00357C94">
        <w:rPr>
          <w:rFonts w:cs="Arial"/>
        </w:rPr>
        <w:t xml:space="preserve">The negative values represent a reduction in </w:t>
      </w:r>
      <w:r w:rsidR="00025605" w:rsidRPr="00357C94">
        <w:rPr>
          <w:rFonts w:cs="Arial"/>
        </w:rPr>
        <w:t>carbon-free generation</w:t>
      </w:r>
      <w:r w:rsidR="004A5FCC" w:rsidRPr="00357C94">
        <w:rPr>
          <w:rFonts w:cs="Arial"/>
        </w:rPr>
        <w:t>,</w:t>
      </w:r>
      <w:r w:rsidR="00025605" w:rsidRPr="00357C94">
        <w:rPr>
          <w:rFonts w:cs="Arial"/>
        </w:rPr>
        <w:t xml:space="preserve"> like nuclear </w:t>
      </w:r>
      <w:r w:rsidR="000348A9" w:rsidRPr="00357C94">
        <w:rPr>
          <w:rFonts w:cs="Arial"/>
        </w:rPr>
        <w:t>and hydropower</w:t>
      </w:r>
      <w:r w:rsidR="004A5FCC" w:rsidRPr="00357C94">
        <w:rPr>
          <w:rFonts w:cs="Arial"/>
        </w:rPr>
        <w:t>,</w:t>
      </w:r>
      <w:r w:rsidR="000348A9" w:rsidRPr="00357C94">
        <w:rPr>
          <w:rFonts w:cs="Arial"/>
        </w:rPr>
        <w:t xml:space="preserve"> </w:t>
      </w:r>
      <w:r w:rsidRPr="00357C94">
        <w:rPr>
          <w:rFonts w:cs="Arial"/>
        </w:rPr>
        <w:t xml:space="preserve">that </w:t>
      </w:r>
      <w:r w:rsidR="000348A9" w:rsidRPr="00357C94">
        <w:rPr>
          <w:rFonts w:cs="Arial"/>
        </w:rPr>
        <w:t>was</w:t>
      </w:r>
      <w:r w:rsidR="002B7C93" w:rsidRPr="00357C94">
        <w:rPr>
          <w:rFonts w:cs="Arial"/>
        </w:rPr>
        <w:t xml:space="preserve"> backfilled with</w:t>
      </w:r>
      <w:r w:rsidRPr="00357C94">
        <w:rPr>
          <w:rFonts w:cs="Arial"/>
        </w:rPr>
        <w:t xml:space="preserve"> </w:t>
      </w:r>
      <w:r w:rsidR="002B7C93" w:rsidRPr="00357C94">
        <w:rPr>
          <w:rFonts w:cs="Arial"/>
        </w:rPr>
        <w:t xml:space="preserve">carbon-emitting </w:t>
      </w:r>
      <w:r w:rsidRPr="00357C94">
        <w:rPr>
          <w:rFonts w:cs="Arial"/>
        </w:rPr>
        <w:t>fossil generation.</w:t>
      </w:r>
    </w:p>
  </w:footnote>
  <w:footnote w:id="8">
    <w:p w14:paraId="57109BC7" w14:textId="4D708A9C" w:rsidR="003A4C29" w:rsidRPr="00357C94" w:rsidRDefault="003A4C29" w:rsidP="003A4C29">
      <w:pPr>
        <w:pStyle w:val="FootnoteText"/>
        <w:rPr>
          <w:sz w:val="22"/>
          <w:szCs w:val="22"/>
        </w:rPr>
      </w:pPr>
      <w:r w:rsidRPr="00357C94">
        <w:rPr>
          <w:rStyle w:val="FootnoteReference"/>
          <w:sz w:val="22"/>
          <w:szCs w:val="22"/>
        </w:rPr>
        <w:footnoteRef/>
      </w:r>
      <w:r w:rsidRPr="00357C94">
        <w:rPr>
          <w:sz w:val="22"/>
          <w:szCs w:val="22"/>
        </w:rPr>
        <w:t xml:space="preserve"> </w:t>
      </w:r>
      <w:r w:rsidR="000F1809" w:rsidRPr="00357C94">
        <w:rPr>
          <w:sz w:val="22"/>
          <w:szCs w:val="22"/>
        </w:rPr>
        <w:t>EIA</w:t>
      </w:r>
      <w:r w:rsidR="00B76696" w:rsidRPr="00357C94">
        <w:rPr>
          <w:sz w:val="22"/>
          <w:szCs w:val="22"/>
        </w:rPr>
        <w:t xml:space="preserve">, </w:t>
      </w:r>
      <w:r w:rsidR="00313B64" w:rsidRPr="00357C94">
        <w:rPr>
          <w:sz w:val="22"/>
          <w:szCs w:val="22"/>
        </w:rPr>
        <w:t>U</w:t>
      </w:r>
      <w:r w:rsidR="004F16D3" w:rsidRPr="00357C94">
        <w:rPr>
          <w:sz w:val="22"/>
          <w:szCs w:val="22"/>
        </w:rPr>
        <w:t>.</w:t>
      </w:r>
      <w:r w:rsidR="00313B64" w:rsidRPr="00357C94">
        <w:rPr>
          <w:sz w:val="22"/>
          <w:szCs w:val="22"/>
        </w:rPr>
        <w:t>S</w:t>
      </w:r>
      <w:r w:rsidR="004F16D3" w:rsidRPr="00357C94">
        <w:rPr>
          <w:sz w:val="22"/>
          <w:szCs w:val="22"/>
        </w:rPr>
        <w:t>.</w:t>
      </w:r>
      <w:r w:rsidR="00313B64" w:rsidRPr="00357C94">
        <w:rPr>
          <w:sz w:val="22"/>
          <w:szCs w:val="22"/>
        </w:rPr>
        <w:t xml:space="preserve"> Electric Sector</w:t>
      </w:r>
      <w:r w:rsidR="00B76696" w:rsidRPr="00357C94">
        <w:rPr>
          <w:sz w:val="22"/>
          <w:szCs w:val="22"/>
        </w:rPr>
        <w:t xml:space="preserve"> Emissions and Generation Data</w:t>
      </w:r>
      <w:r w:rsidR="003B043A" w:rsidRPr="00357C94">
        <w:rPr>
          <w:sz w:val="22"/>
          <w:szCs w:val="22"/>
        </w:rPr>
        <w:t xml:space="preserve"> </w:t>
      </w:r>
    </w:p>
  </w:footnote>
  <w:footnote w:id="9">
    <w:p w14:paraId="6178A3ED" w14:textId="1EF8A933" w:rsidR="00C32070" w:rsidRPr="00357C94" w:rsidRDefault="00C32070">
      <w:pPr>
        <w:pStyle w:val="FootnoteText"/>
        <w:rPr>
          <w:sz w:val="22"/>
          <w:szCs w:val="22"/>
        </w:rPr>
      </w:pPr>
      <w:r w:rsidRPr="00357C94">
        <w:rPr>
          <w:rStyle w:val="FootnoteReference"/>
          <w:sz w:val="22"/>
          <w:szCs w:val="22"/>
        </w:rPr>
        <w:footnoteRef/>
      </w:r>
      <w:r w:rsidRPr="00357C94">
        <w:rPr>
          <w:sz w:val="22"/>
          <w:szCs w:val="22"/>
        </w:rPr>
        <w:t xml:space="preserve"> </w:t>
      </w:r>
      <w:r w:rsidR="009B796C" w:rsidRPr="00357C94">
        <w:rPr>
          <w:sz w:val="22"/>
          <w:szCs w:val="22"/>
        </w:rPr>
        <w:t xml:space="preserve">The only states </w:t>
      </w:r>
      <w:r w:rsidR="00FB2884" w:rsidRPr="00357C94">
        <w:rPr>
          <w:sz w:val="22"/>
          <w:szCs w:val="22"/>
        </w:rPr>
        <w:t xml:space="preserve">in the Southeast with RPS </w:t>
      </w:r>
      <w:r w:rsidR="006E0796" w:rsidRPr="00357C94">
        <w:rPr>
          <w:sz w:val="22"/>
          <w:szCs w:val="22"/>
        </w:rPr>
        <w:t>requirements</w:t>
      </w:r>
      <w:r w:rsidR="00FB2884" w:rsidRPr="00357C94">
        <w:rPr>
          <w:sz w:val="22"/>
          <w:szCs w:val="22"/>
        </w:rPr>
        <w:t xml:space="preserve"> are North Carolina and Virginia.</w:t>
      </w:r>
      <w:r w:rsidR="00181F3F" w:rsidRPr="00357C94">
        <w:rPr>
          <w:sz w:val="22"/>
          <w:szCs w:val="22"/>
        </w:rPr>
        <w:t xml:space="preserve"> </w:t>
      </w:r>
      <w:r w:rsidRPr="00357C94">
        <w:rPr>
          <w:sz w:val="22"/>
          <w:szCs w:val="22"/>
        </w:rPr>
        <w:t xml:space="preserve">North Carolina </w:t>
      </w:r>
      <w:r w:rsidR="006E0796" w:rsidRPr="00357C94">
        <w:rPr>
          <w:sz w:val="22"/>
          <w:szCs w:val="22"/>
        </w:rPr>
        <w:t xml:space="preserve">enacted </w:t>
      </w:r>
      <w:r w:rsidRPr="00357C94">
        <w:rPr>
          <w:sz w:val="22"/>
          <w:szCs w:val="22"/>
        </w:rPr>
        <w:t>a renewable energy and energy efficiency portfolio standard in 2007</w:t>
      </w:r>
      <w:r w:rsidR="005D39D2" w:rsidRPr="00357C94">
        <w:rPr>
          <w:sz w:val="22"/>
          <w:szCs w:val="22"/>
        </w:rPr>
        <w:t>.</w:t>
      </w:r>
      <w:r w:rsidR="00181F3F" w:rsidRPr="00357C94">
        <w:rPr>
          <w:sz w:val="22"/>
          <w:szCs w:val="22"/>
        </w:rPr>
        <w:t xml:space="preserve"> </w:t>
      </w:r>
      <w:r w:rsidR="005D39D2" w:rsidRPr="00357C94">
        <w:rPr>
          <w:sz w:val="22"/>
          <w:szCs w:val="22"/>
        </w:rPr>
        <w:t>Virginia enacted a clean energy sta</w:t>
      </w:r>
      <w:r w:rsidR="009B796C" w:rsidRPr="00357C94">
        <w:rPr>
          <w:sz w:val="22"/>
          <w:szCs w:val="22"/>
        </w:rPr>
        <w:t>ndard in 2020.</w:t>
      </w:r>
    </w:p>
  </w:footnote>
  <w:footnote w:id="10">
    <w:p w14:paraId="6A0788D9" w14:textId="46993D06" w:rsidR="00665372" w:rsidRPr="00357C94" w:rsidRDefault="00665372">
      <w:pPr>
        <w:pStyle w:val="FootnoteText"/>
        <w:rPr>
          <w:sz w:val="22"/>
          <w:szCs w:val="22"/>
        </w:rPr>
      </w:pPr>
      <w:r w:rsidRPr="00357C94">
        <w:rPr>
          <w:rStyle w:val="FootnoteReference"/>
          <w:sz w:val="22"/>
          <w:szCs w:val="22"/>
        </w:rPr>
        <w:footnoteRef/>
      </w:r>
      <w:r w:rsidRPr="00357C94">
        <w:rPr>
          <w:sz w:val="22"/>
          <w:szCs w:val="22"/>
        </w:rPr>
        <w:t xml:space="preserve"> 2020 state</w:t>
      </w:r>
      <w:r w:rsidR="00FF1F93" w:rsidRPr="00357C94">
        <w:rPr>
          <w:sz w:val="22"/>
          <w:szCs w:val="22"/>
        </w:rPr>
        <w:t>-l</w:t>
      </w:r>
      <w:r w:rsidRPr="00357C94">
        <w:rPr>
          <w:sz w:val="22"/>
          <w:szCs w:val="22"/>
        </w:rPr>
        <w:t xml:space="preserve">evel </w:t>
      </w:r>
      <w:r w:rsidR="00FF1F93" w:rsidRPr="00357C94">
        <w:rPr>
          <w:sz w:val="22"/>
          <w:szCs w:val="22"/>
        </w:rPr>
        <w:t xml:space="preserve">fossil fuel emissions reductions </w:t>
      </w:r>
      <w:r w:rsidR="002A54AC" w:rsidRPr="00357C94">
        <w:rPr>
          <w:sz w:val="22"/>
          <w:szCs w:val="22"/>
        </w:rPr>
        <w:t xml:space="preserve">are </w:t>
      </w:r>
      <w:r w:rsidR="00FF1F93" w:rsidRPr="00357C94">
        <w:rPr>
          <w:sz w:val="22"/>
          <w:szCs w:val="22"/>
        </w:rPr>
        <w:t xml:space="preserve">subject to change with </w:t>
      </w:r>
      <w:r w:rsidR="005C15DA" w:rsidRPr="00357C94">
        <w:rPr>
          <w:sz w:val="22"/>
          <w:szCs w:val="22"/>
        </w:rPr>
        <w:t>EIA data updates</w:t>
      </w:r>
      <w:r w:rsidR="002A54AC" w:rsidRPr="00357C94">
        <w:rPr>
          <w:sz w:val="22"/>
          <w:szCs w:val="22"/>
        </w:rPr>
        <w:t>.</w:t>
      </w:r>
    </w:p>
  </w:footnote>
  <w:footnote w:id="11">
    <w:p w14:paraId="322B4669" w14:textId="7FC6D6F5" w:rsidR="00C26DF1" w:rsidRPr="00357C94" w:rsidRDefault="00C26DF1">
      <w:pPr>
        <w:pStyle w:val="FootnoteText"/>
        <w:rPr>
          <w:sz w:val="22"/>
          <w:szCs w:val="22"/>
        </w:rPr>
      </w:pPr>
      <w:r w:rsidRPr="00357C94">
        <w:rPr>
          <w:rStyle w:val="FootnoteReference"/>
          <w:sz w:val="22"/>
          <w:szCs w:val="22"/>
        </w:rPr>
        <w:footnoteRef/>
      </w:r>
      <w:r w:rsidRPr="00357C94">
        <w:rPr>
          <w:sz w:val="22"/>
          <w:szCs w:val="22"/>
        </w:rPr>
        <w:t xml:space="preserve"> Negative values in this chart </w:t>
      </w:r>
      <w:r w:rsidR="00AC085D" w:rsidRPr="00357C94">
        <w:rPr>
          <w:sz w:val="22"/>
          <w:szCs w:val="22"/>
        </w:rPr>
        <w:t>present</w:t>
      </w:r>
      <w:r w:rsidRPr="00357C94">
        <w:rPr>
          <w:sz w:val="22"/>
          <w:szCs w:val="22"/>
        </w:rPr>
        <w:t xml:space="preserve"> a net increase in </w:t>
      </w:r>
      <w:r w:rsidR="00AC085D" w:rsidRPr="00357C94">
        <w:rPr>
          <w:sz w:val="22"/>
          <w:szCs w:val="22"/>
        </w:rPr>
        <w:t>emissions from coal generation over the study period</w:t>
      </w:r>
      <w:r w:rsidR="002A54AC" w:rsidRPr="00357C94">
        <w:rPr>
          <w:sz w:val="22"/>
          <w:szCs w:val="22"/>
        </w:rPr>
        <w:t>.</w:t>
      </w:r>
    </w:p>
  </w:footnote>
  <w:footnote w:id="12">
    <w:p w14:paraId="3A198D21" w14:textId="44B21137" w:rsidR="00FF1F93" w:rsidRPr="00357C94" w:rsidRDefault="00FF1F93">
      <w:pPr>
        <w:pStyle w:val="FootnoteText"/>
        <w:rPr>
          <w:sz w:val="22"/>
          <w:szCs w:val="22"/>
        </w:rPr>
      </w:pPr>
      <w:r w:rsidRPr="00357C94">
        <w:rPr>
          <w:rStyle w:val="FootnoteReference"/>
          <w:sz w:val="22"/>
          <w:szCs w:val="22"/>
        </w:rPr>
        <w:footnoteRef/>
      </w:r>
      <w:r w:rsidRPr="00357C94">
        <w:rPr>
          <w:sz w:val="22"/>
          <w:szCs w:val="22"/>
        </w:rPr>
        <w:t xml:space="preserve"> 2020 state-level carbon-free generation emissions reductions </w:t>
      </w:r>
      <w:r w:rsidR="00C66CC5" w:rsidRPr="00357C94">
        <w:rPr>
          <w:sz w:val="22"/>
          <w:szCs w:val="22"/>
        </w:rPr>
        <w:t xml:space="preserve">are </w:t>
      </w:r>
      <w:r w:rsidRPr="00357C94">
        <w:rPr>
          <w:sz w:val="22"/>
          <w:szCs w:val="22"/>
        </w:rPr>
        <w:t xml:space="preserve">subject to change with EIA </w:t>
      </w:r>
      <w:r w:rsidR="005C15DA" w:rsidRPr="00357C94">
        <w:rPr>
          <w:sz w:val="22"/>
          <w:szCs w:val="22"/>
        </w:rPr>
        <w:t xml:space="preserve">data </w:t>
      </w:r>
      <w:r w:rsidRPr="00357C94">
        <w:rPr>
          <w:sz w:val="22"/>
          <w:szCs w:val="22"/>
        </w:rPr>
        <w:t>update</w:t>
      </w:r>
      <w:r w:rsidR="005C15DA" w:rsidRPr="00357C94">
        <w:rPr>
          <w:sz w:val="22"/>
          <w:szCs w:val="22"/>
        </w:rPr>
        <w:t>s</w:t>
      </w:r>
      <w:r w:rsidR="00C66CC5" w:rsidRPr="00357C94">
        <w:rPr>
          <w:sz w:val="22"/>
          <w:szCs w:val="22"/>
        </w:rPr>
        <w:t>.</w:t>
      </w:r>
    </w:p>
  </w:footnote>
  <w:footnote w:id="13">
    <w:p w14:paraId="498205FB" w14:textId="77777777" w:rsidR="00DB4292" w:rsidRPr="00905715" w:rsidRDefault="00DB4292" w:rsidP="00357C94">
      <w:pPr>
        <w:pStyle w:val="Footer"/>
      </w:pPr>
      <w:r w:rsidRPr="00357C94">
        <w:rPr>
          <w:rStyle w:val="FootnoteReference"/>
        </w:rPr>
        <w:footnoteRef/>
      </w:r>
      <w:r w:rsidRPr="00905715">
        <w:t xml:space="preserve"> For further discussion on impacts of early retirement of nuclear assets, see </w:t>
      </w:r>
      <w:proofErr w:type="spellStart"/>
      <w:r w:rsidRPr="00905715">
        <w:t>ScottMadden’s</w:t>
      </w:r>
      <w:proofErr w:type="spellEnd"/>
      <w:r w:rsidRPr="00905715">
        <w:t xml:space="preserve"> “One Step Forward, Two Steps Back… The Worsening Risk of Losing Carbon-Free Generation in the United States” report at </w:t>
      </w:r>
      <w:hyperlink r:id="rId2" w:history="1">
        <w:r w:rsidRPr="00357C94">
          <w:rPr>
            <w:rStyle w:val="Hyperlink"/>
          </w:rPr>
          <w:t>https://www.scottmadden.com/insight/one-step-forward-two-steps-backthe-worsening-risk-losing-carbon-free-generation-united-states/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5E47" w14:textId="089796C4" w:rsidR="009E7C7C" w:rsidRDefault="002369A4">
    <w:pPr>
      <w:pStyle w:val="Header"/>
    </w:pPr>
    <w:r w:rsidRPr="000728A7">
      <w:rPr>
        <w:noProof/>
      </w:rPr>
      <mc:AlternateContent>
        <mc:Choice Requires="wps">
          <w:drawing>
            <wp:anchor distT="0" distB="0" distL="114300" distR="114300" simplePos="0" relativeHeight="251663360" behindDoc="0" locked="0" layoutInCell="1" allowOverlap="1" wp14:anchorId="3A7F98B2" wp14:editId="2627205F">
              <wp:simplePos x="0" y="0"/>
              <wp:positionH relativeFrom="page">
                <wp:posOffset>643697</wp:posOffset>
              </wp:positionH>
              <wp:positionV relativeFrom="page">
                <wp:posOffset>532212</wp:posOffset>
              </wp:positionV>
              <wp:extent cx="5466715" cy="504825"/>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6715" cy="504825"/>
                      </a:xfrm>
                      <a:prstGeom prst="rect">
                        <a:avLst/>
                      </a:prstGeom>
                      <a:noFill/>
                      <a:ln w="9525">
                        <a:noFill/>
                        <a:miter lim="800000"/>
                        <a:headEnd/>
                        <a:tailEnd/>
                      </a:ln>
                    </wps:spPr>
                    <wps:txbx>
                      <w:txbxContent>
                        <w:p w14:paraId="373DB74D" w14:textId="1EAAAEFA" w:rsidR="002369A4" w:rsidRPr="00112D8D" w:rsidRDefault="002369A4" w:rsidP="002369A4">
                          <w:pPr>
                            <w:jc w:val="left"/>
                            <w:rPr>
                              <w:b/>
                              <w:color w:val="FFFFFF" w:themeColor="background1"/>
                              <w:sz w:val="24"/>
                              <w:szCs w:val="24"/>
                            </w:rPr>
                          </w:pPr>
                          <w:r w:rsidRPr="00112D8D">
                            <w:rPr>
                              <w:b/>
                              <w:color w:val="FFFFFF" w:themeColor="background1"/>
                              <w:sz w:val="24"/>
                              <w:szCs w:val="24"/>
                            </w:rPr>
                            <w:t>Power Decarbonization: Past and Future</w:t>
                          </w:r>
                        </w:p>
                      </w:txbxContent>
                    </wps:txbx>
                    <wps:bodyPr rot="0" vert="horz" wrap="square" lIns="0" tIns="45720" rIns="91440" bIns="45720" anchor="ctr" anchorCtr="0">
                      <a:noAutofit/>
                    </wps:bodyPr>
                  </wps:wsp>
                </a:graphicData>
              </a:graphic>
            </wp:anchor>
          </w:drawing>
        </mc:Choice>
        <mc:Fallback>
          <w:pict>
            <v:shapetype w14:anchorId="3A7F98B2" id="_x0000_t202" coordsize="21600,21600" o:spt="202" path="m,l,21600r21600,l21600,xe">
              <v:stroke joinstyle="miter"/>
              <v:path gradientshapeok="t" o:connecttype="rect"/>
            </v:shapetype>
            <v:shape id="Text Box 2" o:spid="_x0000_s1026" type="#_x0000_t202" style="position:absolute;left:0;text-align:left;margin-left:50.7pt;margin-top:41.9pt;width:430.45pt;height:39.75pt;z-index:251663360;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" filled="f" stroked="f">
              <v:textbox inset="0">
                <w:txbxContent>
                  <w:p w14:paraId="373DB74D" w14:textId="1EAAAEFA" w:rsidR="002369A4" w:rsidRPr="00112D8D" w:rsidRDefault="002369A4" w:rsidP="002369A4">
                    <w:pPr>
                      <w:jc w:val="left"/>
                      <w:rPr>
                        <w:b/>
                        <w:color w:val="FFFFFF" w:themeColor="background1"/>
                        <w:sz w:val="24"/>
                        <w:szCs w:val="24"/>
                      </w:rPr>
                    </w:pPr>
                    <w:r w:rsidRPr="00112D8D">
                      <w:rPr>
                        <w:b/>
                        <w:color w:val="FFFFFF" w:themeColor="background1"/>
                        <w:sz w:val="24"/>
                        <w:szCs w:val="24"/>
                      </w:rPr>
                      <w:t>Power Decarbonization: Past and Future</w:t>
                    </w:r>
                  </w:p>
                </w:txbxContent>
              </v:textbox>
              <w10:wrap anchorx="page" anchory="page"/>
            </v:shape>
          </w:pict>
        </mc:Fallback>
      </mc:AlternateContent>
    </w:r>
    <w:r w:rsidR="000728A7" w:rsidRPr="000728A7">
      <w:rPr>
        <w:noProof/>
      </w:rPr>
      <mc:AlternateContent>
        <mc:Choice Requires="wps">
          <w:drawing>
            <wp:anchor distT="0" distB="0" distL="114300" distR="114300" simplePos="0" relativeHeight="251655168" behindDoc="0" locked="0" layoutInCell="1" allowOverlap="1" wp14:anchorId="37D00F66" wp14:editId="43EB8B67">
              <wp:simplePos x="0" y="0"/>
              <wp:positionH relativeFrom="page">
                <wp:posOffset>635000</wp:posOffset>
              </wp:positionH>
              <wp:positionV relativeFrom="page">
                <wp:posOffset>530860</wp:posOffset>
              </wp:positionV>
              <wp:extent cx="5466715" cy="5048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6715" cy="504825"/>
                      </a:xfrm>
                      <a:prstGeom prst="rect">
                        <a:avLst/>
                      </a:prstGeom>
                      <a:noFill/>
                      <a:ln w="9525">
                        <a:noFill/>
                        <a:miter lim="800000"/>
                        <a:headEnd/>
                        <a:tailEnd/>
                      </a:ln>
                    </wps:spPr>
                    <wps:txbx>
                      <w:txbxContent>
                        <w:p w14:paraId="0AF11DC5" w14:textId="77777777" w:rsidR="000728A7" w:rsidRPr="00204ED8" w:rsidRDefault="00DE4F98" w:rsidP="000728A7">
                          <w:pPr>
                            <w:jc w:val="left"/>
                            <w:rPr>
                              <w:bCs/>
                              <w:color w:val="FFFFFF" w:themeColor="background1"/>
                              <w:sz w:val="24"/>
                              <w:szCs w:val="24"/>
                            </w:rPr>
                          </w:pPr>
                          <w:r w:rsidRPr="00DE4F98">
                            <w:rPr>
                              <w:bCs/>
                              <w:color w:val="FFFFFF" w:themeColor="background1"/>
                              <w:sz w:val="24"/>
                              <w:szCs w:val="24"/>
                            </w:rPr>
                            <w:t>ELECTRICITY’S DECARBONIZATION PLAYBOOK</w:t>
                          </w:r>
                        </w:p>
                      </w:txbxContent>
                    </wps:txbx>
                    <wps:bodyPr rot="0" vert="horz" wrap="square" lIns="0" tIns="45720" rIns="91440" bIns="45720" anchor="b" anchorCtr="0">
                      <a:noAutofit/>
                    </wps:bodyPr>
                  </wps:wsp>
                </a:graphicData>
              </a:graphic>
            </wp:anchor>
          </w:drawing>
        </mc:Choice>
        <mc:Fallback>
          <w:pict>
            <v:shape w14:anchorId="37D00F66" id="_x0000_s1027" type="#_x0000_t202" style="position:absolute;left:0;text-align:left;margin-left:50pt;margin-top:41.8pt;width:430.45pt;height:39.75pt;z-index:25165516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" filled="f" stroked="f">
              <v:textbox inset="0">
                <w:txbxContent>
                  <w:p w14:paraId="0AF11DC5" w14:textId="77777777" w:rsidR="000728A7" w:rsidRPr="00204ED8" w:rsidRDefault="00DE4F98" w:rsidP="000728A7">
                    <w:pPr>
                      <w:jc w:val="left"/>
                      <w:rPr>
                        <w:bCs/>
                        <w:color w:val="FFFFFF" w:themeColor="background1"/>
                        <w:sz w:val="24"/>
                        <w:szCs w:val="24"/>
                      </w:rPr>
                    </w:pPr>
                    <w:r w:rsidRPr="00DE4F98">
                      <w:rPr>
                        <w:bCs/>
                        <w:color w:val="FFFFFF" w:themeColor="background1"/>
                        <w:sz w:val="24"/>
                        <w:szCs w:val="24"/>
                      </w:rPr>
                      <w:t>ELECTRICITY’S DECARBONIZATION PLAYBOOK</w:t>
                    </w:r>
                  </w:p>
                </w:txbxContent>
              </v:textbox>
              <w10:wrap anchorx="page" anchory="page"/>
            </v:shape>
          </w:pict>
        </mc:Fallback>
      </mc:AlternateContent>
    </w:r>
    <w:r w:rsidR="000728A7" w:rsidRPr="000728A7">
      <w:rPr>
        <w:noProof/>
      </w:rPr>
      <w:drawing>
        <wp:anchor distT="0" distB="0" distL="114300" distR="114300" simplePos="0" relativeHeight="251659264" behindDoc="1" locked="0" layoutInCell="1" allowOverlap="1" wp14:anchorId="3E4FD5F8" wp14:editId="17D065FC">
          <wp:simplePos x="0" y="0"/>
          <wp:positionH relativeFrom="page">
            <wp:posOffset>569595</wp:posOffset>
          </wp:positionH>
          <wp:positionV relativeFrom="page">
            <wp:posOffset>301625</wp:posOffset>
          </wp:positionV>
          <wp:extent cx="6638544" cy="1271016"/>
          <wp:effectExtent l="0" t="0" r="0" b="5715"/>
          <wp:wrapTopAndBottom/>
          <wp:docPr id="4" name="Picture 4" descr="D:\users\JBrady\Desktop\MADDEN Template\SM_WhitePap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users\JBrady\Desktop\MADDEN Template\SM_WhitePaper-top.jpg"/>
                  <pic:cNvPicPr>
                    <a:picLocks noChangeAspect="1"/>
                  </pic:cNvPicPr>
                </pic:nvPicPr>
                <pic:blipFill rotWithShape="1">
                  <a:blip r:embed="rId1" cstate="print">
                    <a:extLst>
                      <a:ext uri="{28A0092B-C50C-407E-A947-70E740481C1C}">
                        <a14:useLocalDpi xmlns:a14="http://schemas.microsoft.com/office/drawing/2010/main" val="0"/>
                      </a:ext>
                    </a:extLst>
                  </a:blip>
                  <a:srcRect l="7345" t="17692" r="7399"/>
                  <a:stretch/>
                </pic:blipFill>
                <pic:spPr bwMode="auto">
                  <a:xfrm>
                    <a:off x="0" y="0"/>
                    <a:ext cx="6638544" cy="1271016"/>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FD200" w14:textId="77777777" w:rsidR="004F7FD4" w:rsidRPr="00CF6405" w:rsidRDefault="004F7FD4" w:rsidP="00744EA0">
    <w:pPr>
      <w:pStyle w:val="Header"/>
      <w:tabs>
        <w:tab w:val="center" w:pos="0"/>
      </w:tabs>
      <w:jc w:val="left"/>
      <w:rPr>
        <w:color w:val="5F6062"/>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D4107"/>
    <w:multiLevelType w:val="multilevel"/>
    <w:tmpl w:val="063EF66C"/>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auto"/>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E4B014C"/>
    <w:multiLevelType w:val="hybridMultilevel"/>
    <w:tmpl w:val="452AE516"/>
    <w:lvl w:ilvl="0" w:tplc="35543D74">
      <w:start w:val="1"/>
      <w:numFmt w:val="bullet"/>
      <w:lvlText w:val=""/>
      <w:lvlJc w:val="left"/>
      <w:pPr>
        <w:ind w:left="360" w:hanging="360"/>
      </w:pPr>
      <w:rPr>
        <w:rFonts w:ascii="Wingdings" w:hAnsi="Wingdings" w:hint="default"/>
        <w:color w:val="26BCD7" w:themeColor="accent2"/>
        <w:sz w:val="20"/>
        <w:szCs w:val="20"/>
      </w:rPr>
    </w:lvl>
    <w:lvl w:ilvl="1" w:tplc="F8A0A436">
      <w:start w:val="1"/>
      <w:numFmt w:val="bullet"/>
      <w:pStyle w:val="TableBullet2"/>
      <w:lvlText w:val="•"/>
      <w:lvlJc w:val="left"/>
      <w:pPr>
        <w:ind w:left="1080" w:hanging="360"/>
      </w:pPr>
      <w:rPr>
        <w:rFonts w:ascii="Arial" w:hAnsi="Arial" w:hint="default"/>
        <w:color w:val="5F6062" w:themeColor="text1"/>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5B63D4"/>
    <w:multiLevelType w:val="multilevel"/>
    <w:tmpl w:val="7E588580"/>
    <w:styleLink w:val="Style3"/>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26BCD7" w:themeColor="accent2"/>
      </w:rPr>
    </w:lvl>
    <w:lvl w:ilvl="2">
      <w:start w:val="1"/>
      <w:numFmt w:val="bullet"/>
      <w:lvlText w:val=""/>
      <w:lvlJc w:val="left"/>
      <w:pPr>
        <w:ind w:left="2520" w:hanging="360"/>
      </w:pPr>
      <w:rPr>
        <w:rFonts w:ascii="Symbol" w:hAnsi="Symbol" w:hint="default"/>
        <w:color w:val="26BCD7" w:themeColor="accent2"/>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12A7488D"/>
    <w:multiLevelType w:val="hybridMultilevel"/>
    <w:tmpl w:val="483A3AC4"/>
    <w:lvl w:ilvl="0" w:tplc="EAAEC1B4">
      <w:start w:val="1"/>
      <w:numFmt w:val="bullet"/>
      <w:pStyle w:val="TableBullet1"/>
      <w:lvlText w:val=""/>
      <w:lvlJc w:val="left"/>
      <w:pPr>
        <w:ind w:left="360" w:hanging="360"/>
      </w:pPr>
      <w:rPr>
        <w:rFonts w:ascii="Wingdings" w:hAnsi="Wingdings" w:hint="default"/>
        <w:color w:val="5F6062" w:themeColor="text1"/>
        <w:sz w:val="20"/>
        <w:szCs w:val="20"/>
      </w:rPr>
    </w:lvl>
    <w:lvl w:ilvl="1" w:tplc="7B3ACFC4">
      <w:start w:val="1"/>
      <w:numFmt w:val="bullet"/>
      <w:lvlText w:val=""/>
      <w:lvlJc w:val="left"/>
      <w:pPr>
        <w:ind w:left="1080" w:hanging="360"/>
      </w:pPr>
      <w:rPr>
        <w:rFonts w:ascii="Symbol" w:hAnsi="Symbol" w:hint="default"/>
        <w:color w:val="26BCD7" w:themeColor="accent2"/>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5148C4"/>
    <w:multiLevelType w:val="multilevel"/>
    <w:tmpl w:val="12F4A000"/>
    <w:lvl w:ilvl="0">
      <w:start w:val="1"/>
      <w:numFmt w:val="bullet"/>
      <w:pStyle w:val="Level1Bullet"/>
      <w:lvlText w:val=""/>
      <w:lvlJc w:val="left"/>
      <w:pPr>
        <w:ind w:left="1080" w:hanging="360"/>
      </w:pPr>
      <w:rPr>
        <w:rFonts w:ascii="Wingdings" w:hAnsi="Wingdings" w:hint="default"/>
        <w:color w:val="26BCD7" w:themeColor="accent2"/>
        <w:sz w:val="20"/>
      </w:rPr>
    </w:lvl>
    <w:lvl w:ilvl="1">
      <w:start w:val="1"/>
      <w:numFmt w:val="bullet"/>
      <w:pStyle w:val="Level2Bullet"/>
      <w:lvlText w:val=""/>
      <w:lvlJc w:val="left"/>
      <w:pPr>
        <w:ind w:left="1800" w:hanging="360"/>
      </w:pPr>
      <w:rPr>
        <w:rFonts w:ascii="Symbol" w:hAnsi="Symbol" w:hint="default"/>
        <w:color w:val="5F6062" w:themeColor="text1"/>
      </w:rPr>
    </w:lvl>
    <w:lvl w:ilvl="2">
      <w:start w:val="1"/>
      <w:numFmt w:val="bullet"/>
      <w:pStyle w:val="Level3Bullet"/>
      <w:lvlText w:val=""/>
      <w:lvlJc w:val="left"/>
      <w:pPr>
        <w:ind w:left="2520" w:hanging="360"/>
      </w:pPr>
      <w:rPr>
        <w:rFonts w:ascii="Symbol" w:hAnsi="Symbol" w:hint="default"/>
        <w:color w:val="5F6062" w:themeColor="text1"/>
      </w:rPr>
    </w:lvl>
    <w:lvl w:ilvl="3">
      <w:start w:val="1"/>
      <w:numFmt w:val="bullet"/>
      <w:pStyle w:val="Level4Bullet"/>
      <w:lvlText w:val="o"/>
      <w:lvlJc w:val="left"/>
      <w:pPr>
        <w:ind w:left="3240" w:hanging="360"/>
      </w:pPr>
      <w:rPr>
        <w:rFonts w:ascii="Courier New" w:hAnsi="Courier New" w:hint="default"/>
        <w:b w:val="0"/>
        <w:i w:val="0"/>
        <w:color w:val="5F6062" w:themeColor="text1"/>
        <w:sz w:val="22"/>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 w15:restartNumberingAfterBreak="0">
    <w:nsid w:val="16EB6784"/>
    <w:multiLevelType w:val="multilevel"/>
    <w:tmpl w:val="7E588580"/>
    <w:numStyleLink w:val="Style3"/>
  </w:abstractNum>
  <w:abstractNum w:abstractNumId="6" w15:restartNumberingAfterBreak="0">
    <w:nsid w:val="1A835062"/>
    <w:multiLevelType w:val="hybridMultilevel"/>
    <w:tmpl w:val="0AF83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652FD4"/>
    <w:multiLevelType w:val="hybridMultilevel"/>
    <w:tmpl w:val="05943A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704313"/>
    <w:multiLevelType w:val="hybridMultilevel"/>
    <w:tmpl w:val="00BA2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F40056"/>
    <w:multiLevelType w:val="hybridMultilevel"/>
    <w:tmpl w:val="7620487E"/>
    <w:lvl w:ilvl="0" w:tplc="78027AF0">
      <w:start w:val="1"/>
      <w:numFmt w:val="bullet"/>
      <w:pStyle w:val="ResumeBullet"/>
      <w:lvlText w:val=""/>
      <w:lvlJc w:val="left"/>
      <w:pPr>
        <w:ind w:left="360" w:hanging="360"/>
      </w:pPr>
      <w:rPr>
        <w:rFonts w:ascii="Wingdings" w:hAnsi="Wingdings" w:hint="default"/>
        <w:color w:val="26BCD7" w:themeColor="accent2"/>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C8E7008"/>
    <w:multiLevelType w:val="multilevel"/>
    <w:tmpl w:val="7E588580"/>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26BCD7" w:themeColor="accent2"/>
      </w:rPr>
    </w:lvl>
    <w:lvl w:ilvl="2">
      <w:start w:val="1"/>
      <w:numFmt w:val="bullet"/>
      <w:lvlText w:val=""/>
      <w:lvlJc w:val="left"/>
      <w:pPr>
        <w:ind w:left="2520" w:hanging="360"/>
      </w:pPr>
      <w:rPr>
        <w:rFonts w:ascii="Symbol" w:hAnsi="Symbol" w:hint="default"/>
        <w:color w:val="26BCD7" w:themeColor="accent2"/>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1" w15:restartNumberingAfterBreak="0">
    <w:nsid w:val="2E8302BF"/>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color w:val="26BCD7" w:themeColor="accent2"/>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FBF76CF"/>
    <w:multiLevelType w:val="multilevel"/>
    <w:tmpl w:val="979E25D4"/>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5F6062" w:themeColor="text1"/>
      </w:rPr>
    </w:lvl>
    <w:lvl w:ilvl="2">
      <w:start w:val="1"/>
      <w:numFmt w:val="bullet"/>
      <w:lvlText w:val=""/>
      <w:lvlJc w:val="left"/>
      <w:pPr>
        <w:ind w:left="2520" w:hanging="360"/>
      </w:pPr>
      <w:rPr>
        <w:rFonts w:ascii="Symbol" w:hAnsi="Symbol" w:hint="default"/>
        <w:color w:val="5F6062" w:themeColor="text1"/>
      </w:rPr>
    </w:lvl>
    <w:lvl w:ilvl="3">
      <w:start w:val="1"/>
      <w:numFmt w:val="bullet"/>
      <w:lvlText w:val="o"/>
      <w:lvlJc w:val="left"/>
      <w:pPr>
        <w:ind w:left="3240" w:hanging="360"/>
      </w:pPr>
      <w:rPr>
        <w:rFonts w:ascii="Courier New" w:hAnsi="Courier New" w:hint="default"/>
        <w:b w:val="0"/>
        <w:i w:val="0"/>
        <w:color w:val="5F6062" w:themeColor="text1"/>
        <w:sz w:val="22"/>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3" w15:restartNumberingAfterBreak="0">
    <w:nsid w:val="302B20B6"/>
    <w:multiLevelType w:val="hybridMultilevel"/>
    <w:tmpl w:val="AE7E9458"/>
    <w:lvl w:ilvl="0" w:tplc="DD1889CA">
      <w:start w:val="1"/>
      <w:numFmt w:val="bullet"/>
      <w:lvlText w:val=""/>
      <w:lvlJc w:val="left"/>
      <w:pPr>
        <w:ind w:left="360" w:hanging="360"/>
      </w:pPr>
      <w:rPr>
        <w:rFonts w:ascii="Wingdings" w:hAnsi="Wingdings" w:hint="default"/>
        <w:color w:val="26BCD7" w:themeColor="accent2"/>
        <w:sz w:val="20"/>
        <w:szCs w:val="20"/>
      </w:rPr>
    </w:lvl>
    <w:lvl w:ilvl="1" w:tplc="7B3ACFC4">
      <w:start w:val="1"/>
      <w:numFmt w:val="bullet"/>
      <w:lvlText w:val=""/>
      <w:lvlJc w:val="left"/>
      <w:pPr>
        <w:ind w:left="1080" w:hanging="360"/>
      </w:pPr>
      <w:rPr>
        <w:rFonts w:ascii="Symbol" w:hAnsi="Symbol" w:hint="default"/>
        <w:color w:val="26BCD7" w:themeColor="accent2"/>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A5F0BD1"/>
    <w:multiLevelType w:val="multilevel"/>
    <w:tmpl w:val="7E588580"/>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26BCD7" w:themeColor="accent2"/>
      </w:rPr>
    </w:lvl>
    <w:lvl w:ilvl="2">
      <w:start w:val="1"/>
      <w:numFmt w:val="bullet"/>
      <w:lvlText w:val=""/>
      <w:lvlJc w:val="left"/>
      <w:pPr>
        <w:ind w:left="2520" w:hanging="360"/>
      </w:pPr>
      <w:rPr>
        <w:rFonts w:ascii="Symbol" w:hAnsi="Symbol" w:hint="default"/>
        <w:color w:val="26BCD7" w:themeColor="accent2"/>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5" w15:restartNumberingAfterBreak="0">
    <w:nsid w:val="3CB35770"/>
    <w:multiLevelType w:val="hybridMultilevel"/>
    <w:tmpl w:val="12AA727E"/>
    <w:lvl w:ilvl="0" w:tplc="35543D74">
      <w:start w:val="1"/>
      <w:numFmt w:val="bullet"/>
      <w:lvlText w:val=""/>
      <w:lvlJc w:val="left"/>
      <w:pPr>
        <w:ind w:left="360" w:hanging="360"/>
      </w:pPr>
      <w:rPr>
        <w:rFonts w:ascii="Wingdings" w:hAnsi="Wingdings" w:hint="default"/>
        <w:color w:val="26BCD7" w:themeColor="accent2"/>
        <w:sz w:val="20"/>
        <w:szCs w:val="20"/>
      </w:rPr>
    </w:lvl>
    <w:lvl w:ilvl="1" w:tplc="66227D1C">
      <w:start w:val="1"/>
      <w:numFmt w:val="bullet"/>
      <w:lvlText w:val="•"/>
      <w:lvlJc w:val="left"/>
      <w:pPr>
        <w:ind w:left="1080" w:hanging="360"/>
      </w:pPr>
      <w:rPr>
        <w:rFonts w:ascii="Arial" w:hAnsi="Arial" w:hint="default"/>
        <w:color w:val="26BCD7" w:themeColor="accent2"/>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E323EE7"/>
    <w:multiLevelType w:val="multilevel"/>
    <w:tmpl w:val="7E588580"/>
    <w:numStyleLink w:val="Style3"/>
  </w:abstractNum>
  <w:abstractNum w:abstractNumId="17" w15:restartNumberingAfterBreak="0">
    <w:nsid w:val="3EE76085"/>
    <w:multiLevelType w:val="multilevel"/>
    <w:tmpl w:val="AC0AA446"/>
    <w:lvl w:ilvl="0">
      <w:start w:val="1"/>
      <w:numFmt w:val="decimal"/>
      <w:lvlText w:val="%1)"/>
      <w:lvlJc w:val="left"/>
      <w:pPr>
        <w:ind w:left="360" w:hanging="360"/>
      </w:pPr>
      <w:rPr>
        <w:rFonts w:hint="default"/>
        <w:color w:val="26BCD7" w:themeColor="accent2"/>
      </w:rPr>
    </w:lvl>
    <w:lvl w:ilvl="1">
      <w:start w:val="1"/>
      <w:numFmt w:val="lowerLetter"/>
      <w:lvlText w:val="%2)"/>
      <w:lvlJc w:val="left"/>
      <w:pPr>
        <w:ind w:left="720" w:hanging="360"/>
      </w:pPr>
      <w:rPr>
        <w:rFonts w:hint="default"/>
      </w:rPr>
    </w:lvl>
    <w:lvl w:ilvl="2">
      <w:start w:val="1"/>
      <w:numFmt w:val="bullet"/>
      <w:lvlText w:val=""/>
      <w:lvlJc w:val="left"/>
      <w:pPr>
        <w:ind w:left="1080" w:hanging="360"/>
      </w:pPr>
      <w:rPr>
        <w:rFonts w:ascii="Symbol" w:hAnsi="Symbol" w:hint="default"/>
        <w:color w:val="26BCD7" w:themeColor="accent2"/>
      </w:rPr>
    </w:lvl>
    <w:lvl w:ilvl="3">
      <w:start w:val="1"/>
      <w:numFmt w:val="bullet"/>
      <w:lvlText w:val="o"/>
      <w:lvlJc w:val="left"/>
      <w:pPr>
        <w:ind w:left="1440" w:hanging="360"/>
      </w:pPr>
      <w:rPr>
        <w:rFonts w:ascii="Courier New" w:hAnsi="Courier New" w:hint="default"/>
        <w:color w:val="26BCD7" w:themeColor="accent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0C26540"/>
    <w:multiLevelType w:val="hybridMultilevel"/>
    <w:tmpl w:val="3BCEC3CA"/>
    <w:lvl w:ilvl="0" w:tplc="46581D42">
      <w:start w:val="1"/>
      <w:numFmt w:val="bullet"/>
      <w:lvlText w:val=""/>
      <w:lvlJc w:val="left"/>
      <w:pPr>
        <w:ind w:left="360" w:hanging="360"/>
      </w:pPr>
      <w:rPr>
        <w:rFonts w:ascii="Wingdings" w:hAnsi="Wingdings" w:hint="default"/>
        <w:color w:val="26BCD7" w:themeColor="accent2"/>
        <w:sz w:val="20"/>
        <w:szCs w:val="20"/>
      </w:rPr>
    </w:lvl>
    <w:lvl w:ilvl="1" w:tplc="49165B10">
      <w:start w:val="1"/>
      <w:numFmt w:val="bullet"/>
      <w:lvlText w:val=""/>
      <w:lvlJc w:val="left"/>
      <w:pPr>
        <w:ind w:left="1080" w:hanging="360"/>
      </w:pPr>
      <w:rPr>
        <w:rFonts w:ascii="Symbol" w:hAnsi="Symbol" w:hint="default"/>
        <w:color w:val="26BCD7" w:themeColor="accent2"/>
      </w:rPr>
    </w:lvl>
    <w:lvl w:ilvl="2" w:tplc="D4683834">
      <w:start w:val="1"/>
      <w:numFmt w:val="bullet"/>
      <w:lvlText w:val="−"/>
      <w:lvlJc w:val="left"/>
      <w:pPr>
        <w:ind w:left="1800" w:hanging="360"/>
      </w:pPr>
      <w:rPr>
        <w:rFonts w:ascii="Arial" w:hAnsi="Arial" w:hint="default"/>
        <w:color w:val="26BCD7" w:themeColor="accent2"/>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77F625E"/>
    <w:multiLevelType w:val="multilevel"/>
    <w:tmpl w:val="FBEE6C2E"/>
    <w:styleLink w:val="Style4"/>
    <w:lvl w:ilvl="0">
      <w:start w:val="1"/>
      <w:numFmt w:val="bullet"/>
      <w:lvlText w:val=""/>
      <w:lvlJc w:val="left"/>
      <w:pPr>
        <w:ind w:left="1620" w:hanging="360"/>
      </w:pPr>
      <w:rPr>
        <w:rFonts w:ascii="Symbol" w:hAnsi="Symbol" w:hint="default"/>
        <w:color w:val="26BCD7" w:themeColor="accen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Wingdings 2" w:hAnsi="Wingdings 2" w:hint="default"/>
        <w:color w:val="26BCD7" w:themeColor="accent2"/>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5BAE6F6D"/>
    <w:multiLevelType w:val="multilevel"/>
    <w:tmpl w:val="7340D454"/>
    <w:styleLink w:val="Style2"/>
    <w:lvl w:ilvl="0">
      <w:start w:val="1"/>
      <w:numFmt w:val="bullet"/>
      <w:lvlText w:val="−"/>
      <w:lvlJc w:val="left"/>
      <w:pPr>
        <w:ind w:left="2160" w:hanging="360"/>
      </w:pPr>
      <w:rPr>
        <w:rFonts w:ascii="Arial" w:hAnsi="Arial" w:hint="default"/>
        <w:color w:val="26BCD7" w:themeColor="accent2"/>
      </w:rPr>
    </w:lvl>
    <w:lvl w:ilvl="1">
      <w:start w:val="1"/>
      <w:numFmt w:val="bullet"/>
      <w:lvlText w:val="o"/>
      <w:lvlJc w:val="left"/>
      <w:pPr>
        <w:ind w:left="2880" w:hanging="360"/>
      </w:pPr>
      <w:rPr>
        <w:rFonts w:ascii="Courier New" w:hAnsi="Courier New" w:hint="default"/>
        <w:color w:val="26BCD7" w:themeColor="accent2"/>
      </w:rPr>
    </w:lvl>
    <w:lvl w:ilvl="2">
      <w:start w:val="1"/>
      <w:numFmt w:val="bullet"/>
      <w:lvlText w:val=""/>
      <w:lvlJc w:val="left"/>
      <w:pPr>
        <w:ind w:left="3600" w:hanging="360"/>
      </w:pPr>
      <w:rPr>
        <w:rFonts w:ascii="Symbol" w:hAnsi="Symbol" w:hint="default"/>
        <w:color w:val="26BCD7" w:themeColor="accent2"/>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21" w15:restartNumberingAfterBreak="0">
    <w:nsid w:val="5EDE4461"/>
    <w:multiLevelType w:val="hybridMultilevel"/>
    <w:tmpl w:val="FE9E8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2D7C72"/>
    <w:multiLevelType w:val="multilevel"/>
    <w:tmpl w:val="7340D454"/>
    <w:numStyleLink w:val="Style2"/>
  </w:abstractNum>
  <w:abstractNum w:abstractNumId="23" w15:restartNumberingAfterBreak="0">
    <w:nsid w:val="67D77CCB"/>
    <w:multiLevelType w:val="singleLevel"/>
    <w:tmpl w:val="4844D882"/>
    <w:lvl w:ilvl="0">
      <w:start w:val="1"/>
      <w:numFmt w:val="bullet"/>
      <w:pStyle w:val="TableBulletLevel1"/>
      <w:lvlText w:val=""/>
      <w:lvlJc w:val="left"/>
      <w:pPr>
        <w:tabs>
          <w:tab w:val="num" w:pos="360"/>
        </w:tabs>
        <w:ind w:left="245" w:hanging="245"/>
      </w:pPr>
      <w:rPr>
        <w:rFonts w:ascii="Symbol" w:hAnsi="Symbol" w:hint="default"/>
      </w:rPr>
    </w:lvl>
  </w:abstractNum>
  <w:abstractNum w:abstractNumId="24" w15:restartNumberingAfterBreak="0">
    <w:nsid w:val="69CE43AE"/>
    <w:multiLevelType w:val="multilevel"/>
    <w:tmpl w:val="709446D6"/>
    <w:lvl w:ilvl="0">
      <w:start w:val="1"/>
      <w:numFmt w:val="decimal"/>
      <w:pStyle w:val="NumericalOutline"/>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A576613"/>
    <w:multiLevelType w:val="hybridMultilevel"/>
    <w:tmpl w:val="3A96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A63D58"/>
    <w:multiLevelType w:val="hybridMultilevel"/>
    <w:tmpl w:val="1B5AA0B2"/>
    <w:lvl w:ilvl="0" w:tplc="3FF05744">
      <w:start w:val="1"/>
      <w:numFmt w:val="decimal"/>
      <w:pStyle w:val="NumberedList"/>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7" w15:restartNumberingAfterBreak="0">
    <w:nsid w:val="71C26CE1"/>
    <w:multiLevelType w:val="hybridMultilevel"/>
    <w:tmpl w:val="2A8A7DDE"/>
    <w:lvl w:ilvl="0" w:tplc="46581D42">
      <w:start w:val="1"/>
      <w:numFmt w:val="bullet"/>
      <w:lvlText w:val=""/>
      <w:lvlJc w:val="left"/>
      <w:pPr>
        <w:ind w:left="360" w:hanging="360"/>
      </w:pPr>
      <w:rPr>
        <w:rFonts w:ascii="Wingdings" w:hAnsi="Wingdings" w:hint="default"/>
        <w:color w:val="26BCD7" w:themeColor="accent2"/>
        <w:sz w:val="20"/>
        <w:szCs w:val="20"/>
      </w:rPr>
    </w:lvl>
    <w:lvl w:ilvl="1" w:tplc="49165B10">
      <w:start w:val="1"/>
      <w:numFmt w:val="bullet"/>
      <w:lvlText w:val=""/>
      <w:lvlJc w:val="left"/>
      <w:pPr>
        <w:ind w:left="1080" w:hanging="360"/>
      </w:pPr>
      <w:rPr>
        <w:rFonts w:ascii="Symbol" w:hAnsi="Symbol" w:hint="default"/>
        <w:color w:val="26BCD7" w:themeColor="accent2"/>
      </w:rPr>
    </w:lvl>
    <w:lvl w:ilvl="2" w:tplc="53EE3F2A">
      <w:start w:val="1"/>
      <w:numFmt w:val="bullet"/>
      <w:pStyle w:val="TableBullet3"/>
      <w:lvlText w:val="−"/>
      <w:lvlJc w:val="left"/>
      <w:pPr>
        <w:ind w:left="1800" w:hanging="360"/>
      </w:pPr>
      <w:rPr>
        <w:rFonts w:ascii="Arial" w:hAnsi="Arial" w:hint="default"/>
        <w:color w:val="5F6062" w:themeColor="text1"/>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7B10542"/>
    <w:multiLevelType w:val="multilevel"/>
    <w:tmpl w:val="7E588580"/>
    <w:numStyleLink w:val="Style3"/>
  </w:abstractNum>
  <w:abstractNum w:abstractNumId="29" w15:restartNumberingAfterBreak="0">
    <w:nsid w:val="789A6B61"/>
    <w:multiLevelType w:val="multilevel"/>
    <w:tmpl w:val="0409001F"/>
    <w:styleLink w:val="Style1"/>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num w:numId="1">
    <w:abstractNumId w:val="28"/>
  </w:num>
  <w:num w:numId="2">
    <w:abstractNumId w:val="26"/>
  </w:num>
  <w:num w:numId="3">
    <w:abstractNumId w:val="24"/>
  </w:num>
  <w:num w:numId="4">
    <w:abstractNumId w:val="29"/>
  </w:num>
  <w:num w:numId="5">
    <w:abstractNumId w:val="18"/>
  </w:num>
  <w:num w:numId="6">
    <w:abstractNumId w:val="9"/>
  </w:num>
  <w:num w:numId="7">
    <w:abstractNumId w:val="13"/>
  </w:num>
  <w:num w:numId="8">
    <w:abstractNumId w:val="15"/>
  </w:num>
  <w:num w:numId="9">
    <w:abstractNumId w:val="0"/>
  </w:num>
  <w:num w:numId="10">
    <w:abstractNumId w:val="20"/>
  </w:num>
  <w:num w:numId="11">
    <w:abstractNumId w:val="22"/>
  </w:num>
  <w:num w:numId="12">
    <w:abstractNumId w:val="2"/>
  </w:num>
  <w:num w:numId="13">
    <w:abstractNumId w:val="19"/>
  </w:num>
  <w:num w:numId="14">
    <w:abstractNumId w:val="11"/>
  </w:num>
  <w:num w:numId="15">
    <w:abstractNumId w:val="17"/>
  </w:num>
  <w:num w:numId="16">
    <w:abstractNumId w:val="5"/>
  </w:num>
  <w:num w:numId="17">
    <w:abstractNumId w:val="14"/>
  </w:num>
  <w:num w:numId="18">
    <w:abstractNumId w:val="5"/>
    <w:lvlOverride w:ilvl="0">
      <w:lvl w:ilvl="0">
        <w:start w:val="1"/>
        <w:numFmt w:val="bullet"/>
        <w:lvlText w:val=""/>
        <w:lvlJc w:val="left"/>
        <w:pPr>
          <w:ind w:left="1080" w:hanging="360"/>
        </w:pPr>
        <w:rPr>
          <w:rFonts w:ascii="Wingdings" w:hAnsi="Wingdings" w:hint="default"/>
          <w:color w:val="26BCD7" w:themeColor="accent2"/>
          <w:sz w:val="20"/>
        </w:rPr>
      </w:lvl>
    </w:lvlOverride>
    <w:lvlOverride w:ilvl="1">
      <w:lvl w:ilvl="1">
        <w:start w:val="1"/>
        <w:numFmt w:val="bullet"/>
        <w:lvlText w:val=""/>
        <w:lvlJc w:val="left"/>
        <w:pPr>
          <w:ind w:left="1800" w:hanging="360"/>
        </w:pPr>
        <w:rPr>
          <w:rFonts w:ascii="Symbol" w:hAnsi="Symbol" w:hint="default"/>
          <w:color w:val="26BCD7" w:themeColor="accent2"/>
        </w:rPr>
      </w:lvl>
    </w:lvlOverride>
    <w:lvlOverride w:ilvl="2">
      <w:lvl w:ilvl="2">
        <w:start w:val="1"/>
        <w:numFmt w:val="bullet"/>
        <w:lvlText w:val=""/>
        <w:lvlJc w:val="left"/>
        <w:pPr>
          <w:ind w:left="2520" w:hanging="360"/>
        </w:pPr>
        <w:rPr>
          <w:rFonts w:ascii="Symbol" w:hAnsi="Symbol" w:hint="default"/>
          <w:color w:val="5F6062" w:themeColor="text1"/>
        </w:rPr>
      </w:lvl>
    </w:lvlOverride>
    <w:lvlOverride w:ilvl="3">
      <w:lvl w:ilvl="3">
        <w:start w:val="1"/>
        <w:numFmt w:val="bullet"/>
        <w:lvlText w:val=""/>
        <w:lvlJc w:val="left"/>
        <w:pPr>
          <w:ind w:left="3240" w:hanging="360"/>
        </w:pPr>
        <w:rPr>
          <w:rFonts w:ascii="Symbol" w:hAnsi="Symbol" w:hint="default"/>
          <w:color w:val="auto"/>
        </w:rPr>
      </w:lvl>
    </w:lvlOverride>
    <w:lvlOverride w:ilvl="4">
      <w:lvl w:ilvl="4">
        <w:start w:val="1"/>
        <w:numFmt w:val="bullet"/>
        <w:lvlText w:val="o"/>
        <w:lvlJc w:val="left"/>
        <w:pPr>
          <w:ind w:left="3960" w:hanging="360"/>
        </w:pPr>
        <w:rPr>
          <w:rFonts w:ascii="Courier New" w:hAnsi="Courier New" w:cs="Courier New" w:hint="default"/>
        </w:rPr>
      </w:lvl>
    </w:lvlOverride>
    <w:lvlOverride w:ilvl="5">
      <w:lvl w:ilvl="5">
        <w:start w:val="1"/>
        <w:numFmt w:val="bullet"/>
        <w:lvlText w:val=""/>
        <w:lvlJc w:val="left"/>
        <w:pPr>
          <w:ind w:left="4680" w:hanging="360"/>
        </w:pPr>
        <w:rPr>
          <w:rFonts w:ascii="Wingdings" w:hAnsi="Wingdings" w:hint="default"/>
        </w:rPr>
      </w:lvl>
    </w:lvlOverride>
    <w:lvlOverride w:ilvl="6">
      <w:lvl w:ilvl="6">
        <w:start w:val="1"/>
        <w:numFmt w:val="bullet"/>
        <w:lvlText w:val=""/>
        <w:lvlJc w:val="left"/>
        <w:pPr>
          <w:ind w:left="5400" w:hanging="360"/>
        </w:pPr>
        <w:rPr>
          <w:rFonts w:ascii="Symbol" w:hAnsi="Symbol" w:hint="default"/>
        </w:rPr>
      </w:lvl>
    </w:lvlOverride>
    <w:lvlOverride w:ilvl="7">
      <w:lvl w:ilvl="7">
        <w:start w:val="1"/>
        <w:numFmt w:val="bullet"/>
        <w:lvlText w:val="o"/>
        <w:lvlJc w:val="left"/>
        <w:pPr>
          <w:ind w:left="6120" w:hanging="360"/>
        </w:pPr>
        <w:rPr>
          <w:rFonts w:ascii="Courier New" w:hAnsi="Courier New" w:cs="Courier New" w:hint="default"/>
        </w:rPr>
      </w:lvl>
    </w:lvlOverride>
    <w:lvlOverride w:ilvl="8">
      <w:lvl w:ilvl="8">
        <w:start w:val="1"/>
        <w:numFmt w:val="bullet"/>
        <w:lvlText w:val=""/>
        <w:lvlJc w:val="left"/>
        <w:pPr>
          <w:ind w:left="6840" w:hanging="360"/>
        </w:pPr>
        <w:rPr>
          <w:rFonts w:ascii="Wingdings" w:hAnsi="Wingdings" w:hint="default"/>
        </w:rPr>
      </w:lvl>
    </w:lvlOverride>
  </w:num>
  <w:num w:numId="19">
    <w:abstractNumId w:val="4"/>
  </w:num>
  <w:num w:numId="20">
    <w:abstractNumId w:val="10"/>
  </w:num>
  <w:num w:numId="21">
    <w:abstractNumId w:val="12"/>
  </w:num>
  <w:num w:numId="22">
    <w:abstractNumId w:val="16"/>
  </w:num>
  <w:num w:numId="23">
    <w:abstractNumId w:val="3"/>
  </w:num>
  <w:num w:numId="24">
    <w:abstractNumId w:val="1"/>
  </w:num>
  <w:num w:numId="25">
    <w:abstractNumId w:val="27"/>
  </w:num>
  <w:num w:numId="26">
    <w:abstractNumId w:val="23"/>
  </w:num>
  <w:num w:numId="27">
    <w:abstractNumId w:val="6"/>
  </w:num>
  <w:num w:numId="28">
    <w:abstractNumId w:val="25"/>
  </w:num>
  <w:num w:numId="29">
    <w:abstractNumId w:val="7"/>
  </w:num>
  <w:num w:numId="30">
    <w:abstractNumId w:val="8"/>
  </w:num>
  <w:num w:numId="31">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882"/>
    <w:rsid w:val="00000722"/>
    <w:rsid w:val="0000128D"/>
    <w:rsid w:val="00003832"/>
    <w:rsid w:val="000142A2"/>
    <w:rsid w:val="000153FC"/>
    <w:rsid w:val="00015C55"/>
    <w:rsid w:val="00020BB1"/>
    <w:rsid w:val="00022AE9"/>
    <w:rsid w:val="0002469B"/>
    <w:rsid w:val="00025605"/>
    <w:rsid w:val="00027DF6"/>
    <w:rsid w:val="000304CB"/>
    <w:rsid w:val="000348A9"/>
    <w:rsid w:val="00040B26"/>
    <w:rsid w:val="00042749"/>
    <w:rsid w:val="000441B1"/>
    <w:rsid w:val="00045B58"/>
    <w:rsid w:val="00047388"/>
    <w:rsid w:val="000533BE"/>
    <w:rsid w:val="000535A8"/>
    <w:rsid w:val="00054F99"/>
    <w:rsid w:val="0005575A"/>
    <w:rsid w:val="00056AE4"/>
    <w:rsid w:val="0006197A"/>
    <w:rsid w:val="0006488D"/>
    <w:rsid w:val="0006513A"/>
    <w:rsid w:val="000702E5"/>
    <w:rsid w:val="000728A7"/>
    <w:rsid w:val="0008119B"/>
    <w:rsid w:val="00081C24"/>
    <w:rsid w:val="000824D5"/>
    <w:rsid w:val="00085A79"/>
    <w:rsid w:val="00086FF6"/>
    <w:rsid w:val="00091BC8"/>
    <w:rsid w:val="00094A38"/>
    <w:rsid w:val="000A7050"/>
    <w:rsid w:val="000B0D7F"/>
    <w:rsid w:val="000B4C53"/>
    <w:rsid w:val="000B6B75"/>
    <w:rsid w:val="000C0FCA"/>
    <w:rsid w:val="000C22D6"/>
    <w:rsid w:val="000C39D5"/>
    <w:rsid w:val="000C4254"/>
    <w:rsid w:val="000C4C43"/>
    <w:rsid w:val="000C70F3"/>
    <w:rsid w:val="000C7501"/>
    <w:rsid w:val="000C7818"/>
    <w:rsid w:val="000D15F5"/>
    <w:rsid w:val="000D43F2"/>
    <w:rsid w:val="000F0C1E"/>
    <w:rsid w:val="000F14F4"/>
    <w:rsid w:val="000F1809"/>
    <w:rsid w:val="000F30C0"/>
    <w:rsid w:val="000F43B2"/>
    <w:rsid w:val="00101674"/>
    <w:rsid w:val="00101810"/>
    <w:rsid w:val="00103DDC"/>
    <w:rsid w:val="001057A3"/>
    <w:rsid w:val="0011065A"/>
    <w:rsid w:val="00112D8D"/>
    <w:rsid w:val="001169F2"/>
    <w:rsid w:val="00116F9F"/>
    <w:rsid w:val="00117F57"/>
    <w:rsid w:val="00122E79"/>
    <w:rsid w:val="00124314"/>
    <w:rsid w:val="0012675E"/>
    <w:rsid w:val="00126F17"/>
    <w:rsid w:val="00131118"/>
    <w:rsid w:val="0013246F"/>
    <w:rsid w:val="00134038"/>
    <w:rsid w:val="00141CF9"/>
    <w:rsid w:val="00143C74"/>
    <w:rsid w:val="0014469F"/>
    <w:rsid w:val="00144CCD"/>
    <w:rsid w:val="001468D1"/>
    <w:rsid w:val="001523EF"/>
    <w:rsid w:val="00154073"/>
    <w:rsid w:val="001600E4"/>
    <w:rsid w:val="00162DE4"/>
    <w:rsid w:val="001674AC"/>
    <w:rsid w:val="001723AB"/>
    <w:rsid w:val="00174575"/>
    <w:rsid w:val="00181F3F"/>
    <w:rsid w:val="00187413"/>
    <w:rsid w:val="00187C3B"/>
    <w:rsid w:val="00190A0B"/>
    <w:rsid w:val="00191077"/>
    <w:rsid w:val="00193668"/>
    <w:rsid w:val="0019559D"/>
    <w:rsid w:val="001967F9"/>
    <w:rsid w:val="00197074"/>
    <w:rsid w:val="001A503E"/>
    <w:rsid w:val="001A7EFC"/>
    <w:rsid w:val="001B384F"/>
    <w:rsid w:val="001B4B81"/>
    <w:rsid w:val="001B56FC"/>
    <w:rsid w:val="001C0586"/>
    <w:rsid w:val="001C66AB"/>
    <w:rsid w:val="001C6B5B"/>
    <w:rsid w:val="001D2748"/>
    <w:rsid w:val="001D6CDD"/>
    <w:rsid w:val="001E2128"/>
    <w:rsid w:val="001E6164"/>
    <w:rsid w:val="001E7B4C"/>
    <w:rsid w:val="001F0A64"/>
    <w:rsid w:val="001F5DB2"/>
    <w:rsid w:val="001F6062"/>
    <w:rsid w:val="001F7F74"/>
    <w:rsid w:val="00202F85"/>
    <w:rsid w:val="00203456"/>
    <w:rsid w:val="00204ED8"/>
    <w:rsid w:val="00207A31"/>
    <w:rsid w:val="0021263E"/>
    <w:rsid w:val="0021328C"/>
    <w:rsid w:val="00214002"/>
    <w:rsid w:val="002149AA"/>
    <w:rsid w:val="00214D52"/>
    <w:rsid w:val="002211B1"/>
    <w:rsid w:val="00222522"/>
    <w:rsid w:val="0022252E"/>
    <w:rsid w:val="00222F73"/>
    <w:rsid w:val="00223934"/>
    <w:rsid w:val="00223964"/>
    <w:rsid w:val="00223B14"/>
    <w:rsid w:val="0022474A"/>
    <w:rsid w:val="00224A02"/>
    <w:rsid w:val="00226E48"/>
    <w:rsid w:val="002271A0"/>
    <w:rsid w:val="00230269"/>
    <w:rsid w:val="00231281"/>
    <w:rsid w:val="0023142F"/>
    <w:rsid w:val="00232BDA"/>
    <w:rsid w:val="00234345"/>
    <w:rsid w:val="002345F6"/>
    <w:rsid w:val="00235873"/>
    <w:rsid w:val="00236745"/>
    <w:rsid w:val="002369A4"/>
    <w:rsid w:val="00236BA8"/>
    <w:rsid w:val="00241280"/>
    <w:rsid w:val="00242DD9"/>
    <w:rsid w:val="00252A7D"/>
    <w:rsid w:val="00255A11"/>
    <w:rsid w:val="00260A17"/>
    <w:rsid w:val="002667A0"/>
    <w:rsid w:val="002702EF"/>
    <w:rsid w:val="00271D30"/>
    <w:rsid w:val="00272D8F"/>
    <w:rsid w:val="00274BB4"/>
    <w:rsid w:val="002759F2"/>
    <w:rsid w:val="002807D1"/>
    <w:rsid w:val="0028092F"/>
    <w:rsid w:val="0028725A"/>
    <w:rsid w:val="00287E68"/>
    <w:rsid w:val="002906A0"/>
    <w:rsid w:val="00290D26"/>
    <w:rsid w:val="002912A0"/>
    <w:rsid w:val="002947A9"/>
    <w:rsid w:val="00296DF5"/>
    <w:rsid w:val="002A0BEB"/>
    <w:rsid w:val="002A54AC"/>
    <w:rsid w:val="002A7734"/>
    <w:rsid w:val="002B33A6"/>
    <w:rsid w:val="002B5526"/>
    <w:rsid w:val="002B7C93"/>
    <w:rsid w:val="002C1FD6"/>
    <w:rsid w:val="002C454B"/>
    <w:rsid w:val="002C6DFF"/>
    <w:rsid w:val="002C7BA8"/>
    <w:rsid w:val="002D329C"/>
    <w:rsid w:val="002D443A"/>
    <w:rsid w:val="002D4B01"/>
    <w:rsid w:val="002E7E3C"/>
    <w:rsid w:val="002E7FC4"/>
    <w:rsid w:val="002F1FE2"/>
    <w:rsid w:val="002F2D6E"/>
    <w:rsid w:val="002F363B"/>
    <w:rsid w:val="002F62D1"/>
    <w:rsid w:val="002F6AFA"/>
    <w:rsid w:val="002F7E48"/>
    <w:rsid w:val="00310308"/>
    <w:rsid w:val="00311CE2"/>
    <w:rsid w:val="003137D4"/>
    <w:rsid w:val="00313B64"/>
    <w:rsid w:val="0031455B"/>
    <w:rsid w:val="00321BD2"/>
    <w:rsid w:val="00321F76"/>
    <w:rsid w:val="00324E86"/>
    <w:rsid w:val="00325E1A"/>
    <w:rsid w:val="00330689"/>
    <w:rsid w:val="00333123"/>
    <w:rsid w:val="00333839"/>
    <w:rsid w:val="00335CF0"/>
    <w:rsid w:val="00336ABB"/>
    <w:rsid w:val="00340C53"/>
    <w:rsid w:val="0034268B"/>
    <w:rsid w:val="00350186"/>
    <w:rsid w:val="00351994"/>
    <w:rsid w:val="00351A2C"/>
    <w:rsid w:val="00354E7F"/>
    <w:rsid w:val="00357C94"/>
    <w:rsid w:val="00360622"/>
    <w:rsid w:val="00360972"/>
    <w:rsid w:val="0036294C"/>
    <w:rsid w:val="003633DF"/>
    <w:rsid w:val="00363749"/>
    <w:rsid w:val="003638E3"/>
    <w:rsid w:val="00365535"/>
    <w:rsid w:val="0036634C"/>
    <w:rsid w:val="003678CE"/>
    <w:rsid w:val="0037189A"/>
    <w:rsid w:val="00372E9B"/>
    <w:rsid w:val="00376BDB"/>
    <w:rsid w:val="00376E38"/>
    <w:rsid w:val="0037755F"/>
    <w:rsid w:val="00377AD7"/>
    <w:rsid w:val="00381D68"/>
    <w:rsid w:val="00384CBB"/>
    <w:rsid w:val="0038682A"/>
    <w:rsid w:val="00386B9C"/>
    <w:rsid w:val="003909D7"/>
    <w:rsid w:val="003970BE"/>
    <w:rsid w:val="00397113"/>
    <w:rsid w:val="003A2528"/>
    <w:rsid w:val="003A4C29"/>
    <w:rsid w:val="003A4CDD"/>
    <w:rsid w:val="003A5A7E"/>
    <w:rsid w:val="003B043A"/>
    <w:rsid w:val="003B2D7A"/>
    <w:rsid w:val="003B325C"/>
    <w:rsid w:val="003B5B5D"/>
    <w:rsid w:val="003B6713"/>
    <w:rsid w:val="003B795C"/>
    <w:rsid w:val="003C1D75"/>
    <w:rsid w:val="003C353C"/>
    <w:rsid w:val="003C3FE5"/>
    <w:rsid w:val="003C5B63"/>
    <w:rsid w:val="003D1976"/>
    <w:rsid w:val="003D323F"/>
    <w:rsid w:val="003D3DAF"/>
    <w:rsid w:val="003D444E"/>
    <w:rsid w:val="003D5553"/>
    <w:rsid w:val="003D6F5E"/>
    <w:rsid w:val="003E0688"/>
    <w:rsid w:val="003E4336"/>
    <w:rsid w:val="003E4628"/>
    <w:rsid w:val="003E4DF3"/>
    <w:rsid w:val="003E5D37"/>
    <w:rsid w:val="003E68C9"/>
    <w:rsid w:val="003F123D"/>
    <w:rsid w:val="003F2533"/>
    <w:rsid w:val="003F2679"/>
    <w:rsid w:val="003F39EA"/>
    <w:rsid w:val="003F4D05"/>
    <w:rsid w:val="00402B9A"/>
    <w:rsid w:val="00402EE4"/>
    <w:rsid w:val="004073A3"/>
    <w:rsid w:val="00410007"/>
    <w:rsid w:val="00411EF2"/>
    <w:rsid w:val="0041499F"/>
    <w:rsid w:val="00415ECE"/>
    <w:rsid w:val="00420CFD"/>
    <w:rsid w:val="00420D1C"/>
    <w:rsid w:val="004223C3"/>
    <w:rsid w:val="00423F9B"/>
    <w:rsid w:val="00424321"/>
    <w:rsid w:val="004253E9"/>
    <w:rsid w:val="00426CEF"/>
    <w:rsid w:val="00430F3E"/>
    <w:rsid w:val="0043177E"/>
    <w:rsid w:val="004340C9"/>
    <w:rsid w:val="0043646C"/>
    <w:rsid w:val="004461E9"/>
    <w:rsid w:val="00450AC5"/>
    <w:rsid w:val="00453B06"/>
    <w:rsid w:val="004561D3"/>
    <w:rsid w:val="00456553"/>
    <w:rsid w:val="00462FB0"/>
    <w:rsid w:val="0047747B"/>
    <w:rsid w:val="00480EBF"/>
    <w:rsid w:val="00482DA6"/>
    <w:rsid w:val="00483A05"/>
    <w:rsid w:val="004852AA"/>
    <w:rsid w:val="00490689"/>
    <w:rsid w:val="004923D6"/>
    <w:rsid w:val="00495A27"/>
    <w:rsid w:val="00495C21"/>
    <w:rsid w:val="00495FCF"/>
    <w:rsid w:val="004A0C46"/>
    <w:rsid w:val="004A3AF8"/>
    <w:rsid w:val="004A4E86"/>
    <w:rsid w:val="004A5FCC"/>
    <w:rsid w:val="004A627C"/>
    <w:rsid w:val="004A6295"/>
    <w:rsid w:val="004B140B"/>
    <w:rsid w:val="004B24FE"/>
    <w:rsid w:val="004B2B82"/>
    <w:rsid w:val="004B421A"/>
    <w:rsid w:val="004B4CB7"/>
    <w:rsid w:val="004B4E1E"/>
    <w:rsid w:val="004B5120"/>
    <w:rsid w:val="004B68C9"/>
    <w:rsid w:val="004C2076"/>
    <w:rsid w:val="004C4BB0"/>
    <w:rsid w:val="004C61AA"/>
    <w:rsid w:val="004C757E"/>
    <w:rsid w:val="004D02EB"/>
    <w:rsid w:val="004D1AAA"/>
    <w:rsid w:val="004D3299"/>
    <w:rsid w:val="004D34A1"/>
    <w:rsid w:val="004D77E9"/>
    <w:rsid w:val="004E007C"/>
    <w:rsid w:val="004E134E"/>
    <w:rsid w:val="004E159E"/>
    <w:rsid w:val="004E6467"/>
    <w:rsid w:val="004F16D3"/>
    <w:rsid w:val="004F36C6"/>
    <w:rsid w:val="004F5B5C"/>
    <w:rsid w:val="004F639E"/>
    <w:rsid w:val="004F793C"/>
    <w:rsid w:val="004F7FD4"/>
    <w:rsid w:val="00504365"/>
    <w:rsid w:val="00505DD4"/>
    <w:rsid w:val="00505DF4"/>
    <w:rsid w:val="00507AE5"/>
    <w:rsid w:val="00511BC0"/>
    <w:rsid w:val="00514CF5"/>
    <w:rsid w:val="00515CE7"/>
    <w:rsid w:val="0051642D"/>
    <w:rsid w:val="0052060E"/>
    <w:rsid w:val="00520C0D"/>
    <w:rsid w:val="0052380D"/>
    <w:rsid w:val="00527778"/>
    <w:rsid w:val="00530E13"/>
    <w:rsid w:val="00533534"/>
    <w:rsid w:val="00536DB2"/>
    <w:rsid w:val="00540EEF"/>
    <w:rsid w:val="00544488"/>
    <w:rsid w:val="0055034C"/>
    <w:rsid w:val="005511B5"/>
    <w:rsid w:val="00551273"/>
    <w:rsid w:val="00554B68"/>
    <w:rsid w:val="00555E3A"/>
    <w:rsid w:val="00560FEA"/>
    <w:rsid w:val="00561771"/>
    <w:rsid w:val="00566064"/>
    <w:rsid w:val="00566099"/>
    <w:rsid w:val="00566DC4"/>
    <w:rsid w:val="0057105C"/>
    <w:rsid w:val="00573B37"/>
    <w:rsid w:val="00574382"/>
    <w:rsid w:val="005759BC"/>
    <w:rsid w:val="00577B61"/>
    <w:rsid w:val="00580B9F"/>
    <w:rsid w:val="005817CD"/>
    <w:rsid w:val="005821FC"/>
    <w:rsid w:val="005836B5"/>
    <w:rsid w:val="00584218"/>
    <w:rsid w:val="0058528A"/>
    <w:rsid w:val="00585976"/>
    <w:rsid w:val="00585F0C"/>
    <w:rsid w:val="00590E10"/>
    <w:rsid w:val="005925CD"/>
    <w:rsid w:val="00592FD3"/>
    <w:rsid w:val="00595A62"/>
    <w:rsid w:val="00597D5B"/>
    <w:rsid w:val="005A0934"/>
    <w:rsid w:val="005A0D4A"/>
    <w:rsid w:val="005A1CDE"/>
    <w:rsid w:val="005A2E49"/>
    <w:rsid w:val="005A31E6"/>
    <w:rsid w:val="005B3466"/>
    <w:rsid w:val="005B3969"/>
    <w:rsid w:val="005B69ED"/>
    <w:rsid w:val="005B75FE"/>
    <w:rsid w:val="005B7C3B"/>
    <w:rsid w:val="005C040E"/>
    <w:rsid w:val="005C0B89"/>
    <w:rsid w:val="005C15DA"/>
    <w:rsid w:val="005C22CF"/>
    <w:rsid w:val="005C32C7"/>
    <w:rsid w:val="005D1627"/>
    <w:rsid w:val="005D337B"/>
    <w:rsid w:val="005D39D2"/>
    <w:rsid w:val="005D3E57"/>
    <w:rsid w:val="005D4691"/>
    <w:rsid w:val="005D5714"/>
    <w:rsid w:val="005D651E"/>
    <w:rsid w:val="005D69D9"/>
    <w:rsid w:val="005D6CD8"/>
    <w:rsid w:val="005D732E"/>
    <w:rsid w:val="005E17DC"/>
    <w:rsid w:val="005E1CD7"/>
    <w:rsid w:val="005E38F8"/>
    <w:rsid w:val="005E5690"/>
    <w:rsid w:val="005E6AF2"/>
    <w:rsid w:val="005F623E"/>
    <w:rsid w:val="005F7C99"/>
    <w:rsid w:val="0060414D"/>
    <w:rsid w:val="0060577A"/>
    <w:rsid w:val="00605EA6"/>
    <w:rsid w:val="00607C5D"/>
    <w:rsid w:val="00612E03"/>
    <w:rsid w:val="00615A6F"/>
    <w:rsid w:val="006163F0"/>
    <w:rsid w:val="006227AB"/>
    <w:rsid w:val="006245DF"/>
    <w:rsid w:val="0063320B"/>
    <w:rsid w:val="00637F8A"/>
    <w:rsid w:val="006403FC"/>
    <w:rsid w:val="00643646"/>
    <w:rsid w:val="00646C05"/>
    <w:rsid w:val="00646CD2"/>
    <w:rsid w:val="006504B6"/>
    <w:rsid w:val="0065232D"/>
    <w:rsid w:val="0066072C"/>
    <w:rsid w:val="006617C9"/>
    <w:rsid w:val="00662B03"/>
    <w:rsid w:val="00664526"/>
    <w:rsid w:val="00665372"/>
    <w:rsid w:val="00665C0E"/>
    <w:rsid w:val="00670F5F"/>
    <w:rsid w:val="0067193A"/>
    <w:rsid w:val="006777B7"/>
    <w:rsid w:val="006818CE"/>
    <w:rsid w:val="00681B60"/>
    <w:rsid w:val="006866C1"/>
    <w:rsid w:val="0068762A"/>
    <w:rsid w:val="006877FC"/>
    <w:rsid w:val="006900C9"/>
    <w:rsid w:val="006912F1"/>
    <w:rsid w:val="00692CDD"/>
    <w:rsid w:val="00692D56"/>
    <w:rsid w:val="00697B2C"/>
    <w:rsid w:val="006A097F"/>
    <w:rsid w:val="006A27F7"/>
    <w:rsid w:val="006A2D6F"/>
    <w:rsid w:val="006A7374"/>
    <w:rsid w:val="006A7F2C"/>
    <w:rsid w:val="006B2EF7"/>
    <w:rsid w:val="006B4987"/>
    <w:rsid w:val="006B77C3"/>
    <w:rsid w:val="006C2D5E"/>
    <w:rsid w:val="006C3493"/>
    <w:rsid w:val="006D1A92"/>
    <w:rsid w:val="006D38B4"/>
    <w:rsid w:val="006D4D33"/>
    <w:rsid w:val="006D4D9C"/>
    <w:rsid w:val="006D5A5C"/>
    <w:rsid w:val="006E0796"/>
    <w:rsid w:val="006E3B91"/>
    <w:rsid w:val="006F1644"/>
    <w:rsid w:val="006F75FE"/>
    <w:rsid w:val="00702051"/>
    <w:rsid w:val="00702151"/>
    <w:rsid w:val="00703C82"/>
    <w:rsid w:val="007068A4"/>
    <w:rsid w:val="00707ACD"/>
    <w:rsid w:val="00712BA9"/>
    <w:rsid w:val="00713237"/>
    <w:rsid w:val="00713570"/>
    <w:rsid w:val="00720A1E"/>
    <w:rsid w:val="00721B4B"/>
    <w:rsid w:val="00722976"/>
    <w:rsid w:val="00725870"/>
    <w:rsid w:val="00732050"/>
    <w:rsid w:val="0073271C"/>
    <w:rsid w:val="00734AE8"/>
    <w:rsid w:val="00736DA7"/>
    <w:rsid w:val="007405E4"/>
    <w:rsid w:val="00740E3D"/>
    <w:rsid w:val="007415D9"/>
    <w:rsid w:val="00744EA0"/>
    <w:rsid w:val="007453D6"/>
    <w:rsid w:val="0075262B"/>
    <w:rsid w:val="00755D61"/>
    <w:rsid w:val="00765AB9"/>
    <w:rsid w:val="0076725C"/>
    <w:rsid w:val="007816E3"/>
    <w:rsid w:val="00782648"/>
    <w:rsid w:val="007836CE"/>
    <w:rsid w:val="00786466"/>
    <w:rsid w:val="007868A9"/>
    <w:rsid w:val="007919A1"/>
    <w:rsid w:val="007A09E8"/>
    <w:rsid w:val="007A0D8D"/>
    <w:rsid w:val="007A3AA1"/>
    <w:rsid w:val="007A6DAD"/>
    <w:rsid w:val="007B0A42"/>
    <w:rsid w:val="007B3788"/>
    <w:rsid w:val="007B5BF2"/>
    <w:rsid w:val="007B622F"/>
    <w:rsid w:val="007C169A"/>
    <w:rsid w:val="007C2E80"/>
    <w:rsid w:val="007C365F"/>
    <w:rsid w:val="007C3DA3"/>
    <w:rsid w:val="007C6E10"/>
    <w:rsid w:val="007D111B"/>
    <w:rsid w:val="007D1145"/>
    <w:rsid w:val="007D1466"/>
    <w:rsid w:val="007D2066"/>
    <w:rsid w:val="007D57B4"/>
    <w:rsid w:val="007E38CD"/>
    <w:rsid w:val="007E6521"/>
    <w:rsid w:val="007E6685"/>
    <w:rsid w:val="007F2695"/>
    <w:rsid w:val="007F486C"/>
    <w:rsid w:val="007F71D8"/>
    <w:rsid w:val="007F7A63"/>
    <w:rsid w:val="00804671"/>
    <w:rsid w:val="008046A9"/>
    <w:rsid w:val="00804E18"/>
    <w:rsid w:val="00807218"/>
    <w:rsid w:val="0081005B"/>
    <w:rsid w:val="008134AC"/>
    <w:rsid w:val="008151F4"/>
    <w:rsid w:val="00815B38"/>
    <w:rsid w:val="00815FB6"/>
    <w:rsid w:val="00820674"/>
    <w:rsid w:val="00822DA2"/>
    <w:rsid w:val="00824113"/>
    <w:rsid w:val="00832637"/>
    <w:rsid w:val="00835F0B"/>
    <w:rsid w:val="008363FE"/>
    <w:rsid w:val="00836DE8"/>
    <w:rsid w:val="00845E38"/>
    <w:rsid w:val="008515B0"/>
    <w:rsid w:val="008533D9"/>
    <w:rsid w:val="00853545"/>
    <w:rsid w:val="00856068"/>
    <w:rsid w:val="00857C2D"/>
    <w:rsid w:val="008649E8"/>
    <w:rsid w:val="008655D0"/>
    <w:rsid w:val="00865E25"/>
    <w:rsid w:val="00867E96"/>
    <w:rsid w:val="00870C10"/>
    <w:rsid w:val="00871C45"/>
    <w:rsid w:val="00872733"/>
    <w:rsid w:val="0087594C"/>
    <w:rsid w:val="00877384"/>
    <w:rsid w:val="0088103B"/>
    <w:rsid w:val="008813C5"/>
    <w:rsid w:val="00884385"/>
    <w:rsid w:val="0088585C"/>
    <w:rsid w:val="00885863"/>
    <w:rsid w:val="00885A39"/>
    <w:rsid w:val="00885BBD"/>
    <w:rsid w:val="008928E3"/>
    <w:rsid w:val="00895CED"/>
    <w:rsid w:val="008966EF"/>
    <w:rsid w:val="00897532"/>
    <w:rsid w:val="00897FCA"/>
    <w:rsid w:val="008A7867"/>
    <w:rsid w:val="008A7AD2"/>
    <w:rsid w:val="008B4D34"/>
    <w:rsid w:val="008B6782"/>
    <w:rsid w:val="008C1E19"/>
    <w:rsid w:val="008C22F3"/>
    <w:rsid w:val="008C29FA"/>
    <w:rsid w:val="008C2ACC"/>
    <w:rsid w:val="008C432C"/>
    <w:rsid w:val="008C68A0"/>
    <w:rsid w:val="008C7860"/>
    <w:rsid w:val="008D083B"/>
    <w:rsid w:val="008D1F10"/>
    <w:rsid w:val="008D3DA5"/>
    <w:rsid w:val="008D48C3"/>
    <w:rsid w:val="008D7A52"/>
    <w:rsid w:val="008D7FE3"/>
    <w:rsid w:val="008E06D1"/>
    <w:rsid w:val="008E08D4"/>
    <w:rsid w:val="008E0E6D"/>
    <w:rsid w:val="008E13F2"/>
    <w:rsid w:val="008E1740"/>
    <w:rsid w:val="008E44E9"/>
    <w:rsid w:val="008E5772"/>
    <w:rsid w:val="008E59AD"/>
    <w:rsid w:val="008E6E68"/>
    <w:rsid w:val="008E76E6"/>
    <w:rsid w:val="008F6D60"/>
    <w:rsid w:val="00900120"/>
    <w:rsid w:val="00901545"/>
    <w:rsid w:val="00902801"/>
    <w:rsid w:val="00905047"/>
    <w:rsid w:val="0090533C"/>
    <w:rsid w:val="00905491"/>
    <w:rsid w:val="00905715"/>
    <w:rsid w:val="00911EF6"/>
    <w:rsid w:val="00913D46"/>
    <w:rsid w:val="00917A23"/>
    <w:rsid w:val="00917AC8"/>
    <w:rsid w:val="00922AD6"/>
    <w:rsid w:val="00923146"/>
    <w:rsid w:val="00923752"/>
    <w:rsid w:val="0092423A"/>
    <w:rsid w:val="00924B84"/>
    <w:rsid w:val="0093068E"/>
    <w:rsid w:val="00933D86"/>
    <w:rsid w:val="00936C11"/>
    <w:rsid w:val="00937D66"/>
    <w:rsid w:val="009405F2"/>
    <w:rsid w:val="00940721"/>
    <w:rsid w:val="009432A7"/>
    <w:rsid w:val="009436B6"/>
    <w:rsid w:val="00945DCF"/>
    <w:rsid w:val="00953C7E"/>
    <w:rsid w:val="00954477"/>
    <w:rsid w:val="009548DF"/>
    <w:rsid w:val="009664DF"/>
    <w:rsid w:val="009671BB"/>
    <w:rsid w:val="00967540"/>
    <w:rsid w:val="00975C65"/>
    <w:rsid w:val="00976270"/>
    <w:rsid w:val="009763D4"/>
    <w:rsid w:val="00981108"/>
    <w:rsid w:val="009812BE"/>
    <w:rsid w:val="00982529"/>
    <w:rsid w:val="00982E39"/>
    <w:rsid w:val="00986366"/>
    <w:rsid w:val="00987357"/>
    <w:rsid w:val="00991E60"/>
    <w:rsid w:val="00995374"/>
    <w:rsid w:val="00995492"/>
    <w:rsid w:val="00995528"/>
    <w:rsid w:val="009965C4"/>
    <w:rsid w:val="0099680A"/>
    <w:rsid w:val="00996B6E"/>
    <w:rsid w:val="009A0B6A"/>
    <w:rsid w:val="009A43F7"/>
    <w:rsid w:val="009B1404"/>
    <w:rsid w:val="009B1725"/>
    <w:rsid w:val="009B796C"/>
    <w:rsid w:val="009B7D20"/>
    <w:rsid w:val="009C19EA"/>
    <w:rsid w:val="009C2F5C"/>
    <w:rsid w:val="009C374E"/>
    <w:rsid w:val="009C45BB"/>
    <w:rsid w:val="009C6761"/>
    <w:rsid w:val="009D20C7"/>
    <w:rsid w:val="009D2340"/>
    <w:rsid w:val="009D333B"/>
    <w:rsid w:val="009E00FF"/>
    <w:rsid w:val="009E1E4C"/>
    <w:rsid w:val="009E2EBA"/>
    <w:rsid w:val="009E3309"/>
    <w:rsid w:val="009E4DBC"/>
    <w:rsid w:val="009E6EB0"/>
    <w:rsid w:val="009E7C7C"/>
    <w:rsid w:val="009E7E06"/>
    <w:rsid w:val="009F286F"/>
    <w:rsid w:val="009F4D7F"/>
    <w:rsid w:val="009F70C4"/>
    <w:rsid w:val="009F7CC9"/>
    <w:rsid w:val="00A028E6"/>
    <w:rsid w:val="00A02BDB"/>
    <w:rsid w:val="00A053F8"/>
    <w:rsid w:val="00A05D7F"/>
    <w:rsid w:val="00A07AD4"/>
    <w:rsid w:val="00A14B13"/>
    <w:rsid w:val="00A151C0"/>
    <w:rsid w:val="00A21B38"/>
    <w:rsid w:val="00A2283F"/>
    <w:rsid w:val="00A22B62"/>
    <w:rsid w:val="00A26303"/>
    <w:rsid w:val="00A263F0"/>
    <w:rsid w:val="00A310DC"/>
    <w:rsid w:val="00A318F3"/>
    <w:rsid w:val="00A3260D"/>
    <w:rsid w:val="00A34598"/>
    <w:rsid w:val="00A35055"/>
    <w:rsid w:val="00A4466E"/>
    <w:rsid w:val="00A4510B"/>
    <w:rsid w:val="00A51907"/>
    <w:rsid w:val="00A524A2"/>
    <w:rsid w:val="00A55554"/>
    <w:rsid w:val="00A578D9"/>
    <w:rsid w:val="00A65520"/>
    <w:rsid w:val="00A703C7"/>
    <w:rsid w:val="00A719D4"/>
    <w:rsid w:val="00A74F9E"/>
    <w:rsid w:val="00A80078"/>
    <w:rsid w:val="00A83402"/>
    <w:rsid w:val="00A83D9F"/>
    <w:rsid w:val="00A90D57"/>
    <w:rsid w:val="00A91FB8"/>
    <w:rsid w:val="00A9290A"/>
    <w:rsid w:val="00AA4E5E"/>
    <w:rsid w:val="00AA778C"/>
    <w:rsid w:val="00AB4ED1"/>
    <w:rsid w:val="00AB5141"/>
    <w:rsid w:val="00AB54B6"/>
    <w:rsid w:val="00AB570E"/>
    <w:rsid w:val="00AC085D"/>
    <w:rsid w:val="00AC7A73"/>
    <w:rsid w:val="00AC7FDA"/>
    <w:rsid w:val="00AD0A95"/>
    <w:rsid w:val="00AD102D"/>
    <w:rsid w:val="00AD12A3"/>
    <w:rsid w:val="00AD1C9C"/>
    <w:rsid w:val="00AD2285"/>
    <w:rsid w:val="00AD612B"/>
    <w:rsid w:val="00AD6BDA"/>
    <w:rsid w:val="00AD7CED"/>
    <w:rsid w:val="00AE14E2"/>
    <w:rsid w:val="00AE157B"/>
    <w:rsid w:val="00AE242E"/>
    <w:rsid w:val="00AE460E"/>
    <w:rsid w:val="00AF049D"/>
    <w:rsid w:val="00AF058C"/>
    <w:rsid w:val="00AF1C6B"/>
    <w:rsid w:val="00AF2E20"/>
    <w:rsid w:val="00AF559E"/>
    <w:rsid w:val="00AF749A"/>
    <w:rsid w:val="00B00174"/>
    <w:rsid w:val="00B01E03"/>
    <w:rsid w:val="00B01FD9"/>
    <w:rsid w:val="00B02212"/>
    <w:rsid w:val="00B02D82"/>
    <w:rsid w:val="00B131B1"/>
    <w:rsid w:val="00B215C5"/>
    <w:rsid w:val="00B24A87"/>
    <w:rsid w:val="00B25A4D"/>
    <w:rsid w:val="00B3093D"/>
    <w:rsid w:val="00B310B7"/>
    <w:rsid w:val="00B32E0B"/>
    <w:rsid w:val="00B36268"/>
    <w:rsid w:val="00B37760"/>
    <w:rsid w:val="00B43DF3"/>
    <w:rsid w:val="00B44BBA"/>
    <w:rsid w:val="00B45045"/>
    <w:rsid w:val="00B47349"/>
    <w:rsid w:val="00B54A13"/>
    <w:rsid w:val="00B54D3E"/>
    <w:rsid w:val="00B628FC"/>
    <w:rsid w:val="00B64FD2"/>
    <w:rsid w:val="00B6646F"/>
    <w:rsid w:val="00B66703"/>
    <w:rsid w:val="00B701C5"/>
    <w:rsid w:val="00B71558"/>
    <w:rsid w:val="00B73035"/>
    <w:rsid w:val="00B730E7"/>
    <w:rsid w:val="00B73D91"/>
    <w:rsid w:val="00B76696"/>
    <w:rsid w:val="00B81DF2"/>
    <w:rsid w:val="00B8425C"/>
    <w:rsid w:val="00B87429"/>
    <w:rsid w:val="00B906B5"/>
    <w:rsid w:val="00B90C3D"/>
    <w:rsid w:val="00B974C2"/>
    <w:rsid w:val="00BA0621"/>
    <w:rsid w:val="00BA12CB"/>
    <w:rsid w:val="00BA1F53"/>
    <w:rsid w:val="00BA355F"/>
    <w:rsid w:val="00BA6FD8"/>
    <w:rsid w:val="00BB0A0F"/>
    <w:rsid w:val="00BB17C6"/>
    <w:rsid w:val="00BB63AF"/>
    <w:rsid w:val="00BC21B2"/>
    <w:rsid w:val="00BC2509"/>
    <w:rsid w:val="00BC47EF"/>
    <w:rsid w:val="00BC4ACA"/>
    <w:rsid w:val="00BD68D4"/>
    <w:rsid w:val="00BE243F"/>
    <w:rsid w:val="00BE35B7"/>
    <w:rsid w:val="00BE4674"/>
    <w:rsid w:val="00BE6699"/>
    <w:rsid w:val="00BF1BC9"/>
    <w:rsid w:val="00BF1D3A"/>
    <w:rsid w:val="00BF38CE"/>
    <w:rsid w:val="00BF72E1"/>
    <w:rsid w:val="00C0058A"/>
    <w:rsid w:val="00C02742"/>
    <w:rsid w:val="00C10C6A"/>
    <w:rsid w:val="00C10D6D"/>
    <w:rsid w:val="00C13EB9"/>
    <w:rsid w:val="00C147F3"/>
    <w:rsid w:val="00C169E7"/>
    <w:rsid w:val="00C16AF2"/>
    <w:rsid w:val="00C17FE3"/>
    <w:rsid w:val="00C20CA0"/>
    <w:rsid w:val="00C22CDA"/>
    <w:rsid w:val="00C236DA"/>
    <w:rsid w:val="00C23C58"/>
    <w:rsid w:val="00C26DF1"/>
    <w:rsid w:val="00C30167"/>
    <w:rsid w:val="00C32070"/>
    <w:rsid w:val="00C3639B"/>
    <w:rsid w:val="00C3698F"/>
    <w:rsid w:val="00C42904"/>
    <w:rsid w:val="00C43CC4"/>
    <w:rsid w:val="00C43F55"/>
    <w:rsid w:val="00C44548"/>
    <w:rsid w:val="00C449D4"/>
    <w:rsid w:val="00C463A7"/>
    <w:rsid w:val="00C47C7D"/>
    <w:rsid w:val="00C5629E"/>
    <w:rsid w:val="00C6169A"/>
    <w:rsid w:val="00C62265"/>
    <w:rsid w:val="00C64839"/>
    <w:rsid w:val="00C65E93"/>
    <w:rsid w:val="00C66CC5"/>
    <w:rsid w:val="00C6735B"/>
    <w:rsid w:val="00C70C60"/>
    <w:rsid w:val="00C808DE"/>
    <w:rsid w:val="00C811DF"/>
    <w:rsid w:val="00C82491"/>
    <w:rsid w:val="00C849D2"/>
    <w:rsid w:val="00C854DA"/>
    <w:rsid w:val="00C90622"/>
    <w:rsid w:val="00C90939"/>
    <w:rsid w:val="00C92380"/>
    <w:rsid w:val="00C94A2A"/>
    <w:rsid w:val="00C96A11"/>
    <w:rsid w:val="00CA4DF3"/>
    <w:rsid w:val="00CA5715"/>
    <w:rsid w:val="00CA6BE4"/>
    <w:rsid w:val="00CA6C6F"/>
    <w:rsid w:val="00CB06D1"/>
    <w:rsid w:val="00CB2323"/>
    <w:rsid w:val="00CB4639"/>
    <w:rsid w:val="00CB5A3F"/>
    <w:rsid w:val="00CC2E21"/>
    <w:rsid w:val="00CC4DD0"/>
    <w:rsid w:val="00CC7026"/>
    <w:rsid w:val="00CC7333"/>
    <w:rsid w:val="00CD1623"/>
    <w:rsid w:val="00CD2616"/>
    <w:rsid w:val="00CD2AFA"/>
    <w:rsid w:val="00CD6DA4"/>
    <w:rsid w:val="00CE2E4E"/>
    <w:rsid w:val="00CE482B"/>
    <w:rsid w:val="00CE5B64"/>
    <w:rsid w:val="00CE6D5E"/>
    <w:rsid w:val="00CE7DDA"/>
    <w:rsid w:val="00CF055D"/>
    <w:rsid w:val="00CF126C"/>
    <w:rsid w:val="00CF222E"/>
    <w:rsid w:val="00CF3403"/>
    <w:rsid w:val="00CF4309"/>
    <w:rsid w:val="00D00338"/>
    <w:rsid w:val="00D0106D"/>
    <w:rsid w:val="00D11AA9"/>
    <w:rsid w:val="00D12B17"/>
    <w:rsid w:val="00D12D6C"/>
    <w:rsid w:val="00D17CF5"/>
    <w:rsid w:val="00D206AA"/>
    <w:rsid w:val="00D24958"/>
    <w:rsid w:val="00D25366"/>
    <w:rsid w:val="00D35BEF"/>
    <w:rsid w:val="00D3763B"/>
    <w:rsid w:val="00D41791"/>
    <w:rsid w:val="00D425F0"/>
    <w:rsid w:val="00D42DF1"/>
    <w:rsid w:val="00D44CDC"/>
    <w:rsid w:val="00D45DB9"/>
    <w:rsid w:val="00D46C15"/>
    <w:rsid w:val="00D50BE0"/>
    <w:rsid w:val="00D618AD"/>
    <w:rsid w:val="00D61B3A"/>
    <w:rsid w:val="00D656EB"/>
    <w:rsid w:val="00D70CE3"/>
    <w:rsid w:val="00D721A7"/>
    <w:rsid w:val="00D738D1"/>
    <w:rsid w:val="00D757D2"/>
    <w:rsid w:val="00D76682"/>
    <w:rsid w:val="00D77E6E"/>
    <w:rsid w:val="00D77E82"/>
    <w:rsid w:val="00D827D4"/>
    <w:rsid w:val="00D82ACC"/>
    <w:rsid w:val="00D83E1F"/>
    <w:rsid w:val="00D8554C"/>
    <w:rsid w:val="00D87CF5"/>
    <w:rsid w:val="00D9243B"/>
    <w:rsid w:val="00D9290B"/>
    <w:rsid w:val="00D92AED"/>
    <w:rsid w:val="00D93B8F"/>
    <w:rsid w:val="00D94125"/>
    <w:rsid w:val="00DA0651"/>
    <w:rsid w:val="00DA0BB6"/>
    <w:rsid w:val="00DA281F"/>
    <w:rsid w:val="00DA3D45"/>
    <w:rsid w:val="00DA48CF"/>
    <w:rsid w:val="00DA4C53"/>
    <w:rsid w:val="00DB0450"/>
    <w:rsid w:val="00DB0580"/>
    <w:rsid w:val="00DB17FA"/>
    <w:rsid w:val="00DB4292"/>
    <w:rsid w:val="00DB6620"/>
    <w:rsid w:val="00DB7937"/>
    <w:rsid w:val="00DC1A0A"/>
    <w:rsid w:val="00DD0CCC"/>
    <w:rsid w:val="00DD1933"/>
    <w:rsid w:val="00DD1BCC"/>
    <w:rsid w:val="00DD46D4"/>
    <w:rsid w:val="00DD46D5"/>
    <w:rsid w:val="00DD4D99"/>
    <w:rsid w:val="00DD7603"/>
    <w:rsid w:val="00DE0D5A"/>
    <w:rsid w:val="00DE2473"/>
    <w:rsid w:val="00DE3083"/>
    <w:rsid w:val="00DE32F3"/>
    <w:rsid w:val="00DE4F98"/>
    <w:rsid w:val="00DE7092"/>
    <w:rsid w:val="00DF08AF"/>
    <w:rsid w:val="00DF1759"/>
    <w:rsid w:val="00DF3944"/>
    <w:rsid w:val="00DF4556"/>
    <w:rsid w:val="00DF6814"/>
    <w:rsid w:val="00DF707B"/>
    <w:rsid w:val="00DF7658"/>
    <w:rsid w:val="00E0046C"/>
    <w:rsid w:val="00E0143B"/>
    <w:rsid w:val="00E027A6"/>
    <w:rsid w:val="00E02F16"/>
    <w:rsid w:val="00E057DA"/>
    <w:rsid w:val="00E06546"/>
    <w:rsid w:val="00E10AC3"/>
    <w:rsid w:val="00E12691"/>
    <w:rsid w:val="00E12785"/>
    <w:rsid w:val="00E12A3A"/>
    <w:rsid w:val="00E150BC"/>
    <w:rsid w:val="00E16BE2"/>
    <w:rsid w:val="00E17946"/>
    <w:rsid w:val="00E17A8C"/>
    <w:rsid w:val="00E22DB1"/>
    <w:rsid w:val="00E23D4F"/>
    <w:rsid w:val="00E264CB"/>
    <w:rsid w:val="00E33B18"/>
    <w:rsid w:val="00E36762"/>
    <w:rsid w:val="00E368D8"/>
    <w:rsid w:val="00E42D92"/>
    <w:rsid w:val="00E51808"/>
    <w:rsid w:val="00E60FFE"/>
    <w:rsid w:val="00E673FE"/>
    <w:rsid w:val="00E70E46"/>
    <w:rsid w:val="00E74E07"/>
    <w:rsid w:val="00E759D3"/>
    <w:rsid w:val="00E90D52"/>
    <w:rsid w:val="00E9104B"/>
    <w:rsid w:val="00E918D9"/>
    <w:rsid w:val="00E91D07"/>
    <w:rsid w:val="00E96D04"/>
    <w:rsid w:val="00EA1F86"/>
    <w:rsid w:val="00EA2B7C"/>
    <w:rsid w:val="00EA712E"/>
    <w:rsid w:val="00EB338B"/>
    <w:rsid w:val="00EB3E6C"/>
    <w:rsid w:val="00EB44A3"/>
    <w:rsid w:val="00EC1386"/>
    <w:rsid w:val="00EC1BE5"/>
    <w:rsid w:val="00EC346D"/>
    <w:rsid w:val="00EC3B8A"/>
    <w:rsid w:val="00EC43F9"/>
    <w:rsid w:val="00EC6399"/>
    <w:rsid w:val="00ED0636"/>
    <w:rsid w:val="00ED0703"/>
    <w:rsid w:val="00ED1CCF"/>
    <w:rsid w:val="00ED28F7"/>
    <w:rsid w:val="00ED37F1"/>
    <w:rsid w:val="00ED44DC"/>
    <w:rsid w:val="00ED6D9B"/>
    <w:rsid w:val="00EE06C7"/>
    <w:rsid w:val="00EE13C8"/>
    <w:rsid w:val="00EE1A4A"/>
    <w:rsid w:val="00EE2927"/>
    <w:rsid w:val="00EE4860"/>
    <w:rsid w:val="00EE5980"/>
    <w:rsid w:val="00EE7023"/>
    <w:rsid w:val="00EF0984"/>
    <w:rsid w:val="00EF303A"/>
    <w:rsid w:val="00EF3153"/>
    <w:rsid w:val="00EF6A1E"/>
    <w:rsid w:val="00EF7508"/>
    <w:rsid w:val="00F02245"/>
    <w:rsid w:val="00F045A9"/>
    <w:rsid w:val="00F064F2"/>
    <w:rsid w:val="00F06CC6"/>
    <w:rsid w:val="00F11728"/>
    <w:rsid w:val="00F1243C"/>
    <w:rsid w:val="00F13968"/>
    <w:rsid w:val="00F16446"/>
    <w:rsid w:val="00F1745D"/>
    <w:rsid w:val="00F26D47"/>
    <w:rsid w:val="00F33DED"/>
    <w:rsid w:val="00F42484"/>
    <w:rsid w:val="00F4756C"/>
    <w:rsid w:val="00F515E5"/>
    <w:rsid w:val="00F534BF"/>
    <w:rsid w:val="00F5539A"/>
    <w:rsid w:val="00F622BD"/>
    <w:rsid w:val="00F62720"/>
    <w:rsid w:val="00F644FB"/>
    <w:rsid w:val="00F667F4"/>
    <w:rsid w:val="00F72FA8"/>
    <w:rsid w:val="00F81ACF"/>
    <w:rsid w:val="00F836A9"/>
    <w:rsid w:val="00F840AF"/>
    <w:rsid w:val="00F84289"/>
    <w:rsid w:val="00F86097"/>
    <w:rsid w:val="00F860EC"/>
    <w:rsid w:val="00F87A48"/>
    <w:rsid w:val="00F90D7E"/>
    <w:rsid w:val="00F90FB8"/>
    <w:rsid w:val="00F91149"/>
    <w:rsid w:val="00FA2882"/>
    <w:rsid w:val="00FA7538"/>
    <w:rsid w:val="00FA78EC"/>
    <w:rsid w:val="00FB25CE"/>
    <w:rsid w:val="00FB2884"/>
    <w:rsid w:val="00FB3383"/>
    <w:rsid w:val="00FB37A9"/>
    <w:rsid w:val="00FB4EF8"/>
    <w:rsid w:val="00FB64D5"/>
    <w:rsid w:val="00FC7A89"/>
    <w:rsid w:val="00FD0E36"/>
    <w:rsid w:val="00FD3184"/>
    <w:rsid w:val="00FD34D8"/>
    <w:rsid w:val="00FD48C9"/>
    <w:rsid w:val="00FE3B62"/>
    <w:rsid w:val="00FE444B"/>
    <w:rsid w:val="00FE5EA6"/>
    <w:rsid w:val="00FF1F93"/>
    <w:rsid w:val="7B1238F7"/>
    <w:rsid w:val="7B646C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0A38870"/>
  <w15:docId w15:val="{28300D3F-6C69-4D1F-A7F0-5C45998D7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sz w:val="22"/>
        <w:szCs w:val="22"/>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0A95"/>
    <w:pPr>
      <w:jc w:val="both"/>
    </w:pPr>
  </w:style>
  <w:style w:type="paragraph" w:styleId="Heading1">
    <w:name w:val="heading 1"/>
    <w:aliases w:val="Resume Major Side"/>
    <w:basedOn w:val="Normal"/>
    <w:next w:val="Normal"/>
    <w:link w:val="Heading1Char"/>
    <w:uiPriority w:val="9"/>
    <w:qFormat/>
    <w:rsid w:val="00BE243F"/>
    <w:pPr>
      <w:spacing w:before="120" w:after="120"/>
      <w:outlineLvl w:val="0"/>
    </w:pPr>
    <w:rPr>
      <w:rFonts w:ascii="Arial Narrow" w:hAnsi="Arial Narrow"/>
      <w:b/>
      <w:i/>
      <w:color w:val="5F6062" w:themeColor="backgroun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CE5B64"/>
    <w:pPr>
      <w:numPr>
        <w:numId w:val="4"/>
      </w:numPr>
    </w:pPr>
  </w:style>
  <w:style w:type="paragraph" w:customStyle="1" w:styleId="NumericalOutline">
    <w:name w:val="Numerical Outline"/>
    <w:basedOn w:val="NumberedList"/>
    <w:link w:val="NumericalOutlineChar"/>
    <w:qFormat/>
    <w:rsid w:val="00CE5B64"/>
    <w:pPr>
      <w:numPr>
        <w:numId w:val="3"/>
      </w:numPr>
      <w:spacing w:before="120" w:after="120"/>
    </w:pPr>
  </w:style>
  <w:style w:type="paragraph" w:styleId="ListParagraph">
    <w:name w:val="List Paragraph"/>
    <w:basedOn w:val="Normal"/>
    <w:link w:val="ListParagraphChar"/>
    <w:uiPriority w:val="34"/>
    <w:qFormat/>
    <w:rsid w:val="00CE5B64"/>
    <w:pPr>
      <w:ind w:left="720"/>
      <w:contextualSpacing/>
    </w:pPr>
  </w:style>
  <w:style w:type="paragraph" w:customStyle="1" w:styleId="MajorSide">
    <w:name w:val="Major Side"/>
    <w:basedOn w:val="Normal"/>
    <w:next w:val="Normal"/>
    <w:qFormat/>
    <w:rsid w:val="004F7FD4"/>
    <w:pPr>
      <w:keepNext/>
      <w:spacing w:after="280"/>
      <w:jc w:val="left"/>
      <w:outlineLvl w:val="0"/>
    </w:pPr>
    <w:rPr>
      <w:rFonts w:cstheme="minorHAnsi"/>
      <w:b/>
      <w:caps/>
      <w:color w:val="5F6062" w:themeColor="accent1"/>
    </w:rPr>
  </w:style>
  <w:style w:type="paragraph" w:customStyle="1" w:styleId="MinorSide">
    <w:name w:val="Minor Side"/>
    <w:basedOn w:val="Normal"/>
    <w:next w:val="Normal"/>
    <w:qFormat/>
    <w:rsid w:val="004F7FD4"/>
    <w:pPr>
      <w:keepNext/>
      <w:spacing w:after="280"/>
      <w:ind w:left="720"/>
      <w:jc w:val="left"/>
      <w:outlineLvl w:val="1"/>
    </w:pPr>
    <w:rPr>
      <w:rFonts w:cstheme="minorHAnsi"/>
      <w:b/>
      <w:color w:val="5F6062" w:themeColor="accent1"/>
    </w:rPr>
  </w:style>
  <w:style w:type="paragraph" w:customStyle="1" w:styleId="Level1Bullet">
    <w:name w:val="Level 1 Bullet"/>
    <w:basedOn w:val="Normal"/>
    <w:next w:val="Normal"/>
    <w:link w:val="Level1BulletChar"/>
    <w:qFormat/>
    <w:rsid w:val="00551273"/>
    <w:pPr>
      <w:numPr>
        <w:numId w:val="19"/>
      </w:numPr>
      <w:spacing w:after="120"/>
    </w:pPr>
  </w:style>
  <w:style w:type="paragraph" w:customStyle="1" w:styleId="Level2Bullet">
    <w:name w:val="Level 2 Bullet"/>
    <w:basedOn w:val="Normal"/>
    <w:next w:val="Normal"/>
    <w:qFormat/>
    <w:rsid w:val="00CC7026"/>
    <w:pPr>
      <w:numPr>
        <w:ilvl w:val="1"/>
        <w:numId w:val="19"/>
      </w:numPr>
      <w:spacing w:before="120" w:after="120"/>
    </w:pPr>
  </w:style>
  <w:style w:type="paragraph" w:customStyle="1" w:styleId="Level3Bullet">
    <w:name w:val="Level 3 Bullet"/>
    <w:basedOn w:val="Normal"/>
    <w:next w:val="Normal"/>
    <w:link w:val="Level3BulletChar"/>
    <w:qFormat/>
    <w:rsid w:val="00551273"/>
    <w:pPr>
      <w:numPr>
        <w:ilvl w:val="2"/>
        <w:numId w:val="19"/>
      </w:numPr>
      <w:spacing w:before="120" w:after="120"/>
    </w:pPr>
  </w:style>
  <w:style w:type="paragraph" w:styleId="Header">
    <w:name w:val="header"/>
    <w:basedOn w:val="Normal"/>
    <w:link w:val="HeaderChar"/>
    <w:uiPriority w:val="99"/>
    <w:unhideWhenUsed/>
    <w:rsid w:val="00F11728"/>
    <w:pPr>
      <w:tabs>
        <w:tab w:val="center" w:pos="4680"/>
        <w:tab w:val="right" w:pos="9360"/>
      </w:tabs>
    </w:pPr>
  </w:style>
  <w:style w:type="character" w:customStyle="1" w:styleId="NumberedListChar">
    <w:name w:val="Numbered List Char"/>
    <w:basedOn w:val="DefaultParagraphFont"/>
    <w:link w:val="NumberedList"/>
    <w:rsid w:val="00CE5B64"/>
  </w:style>
  <w:style w:type="character" w:customStyle="1" w:styleId="NumericalOutlineChar">
    <w:name w:val="Numerical Outline Char"/>
    <w:basedOn w:val="NumberedListChar"/>
    <w:link w:val="NumericalOutline"/>
    <w:rsid w:val="00CE5B64"/>
    <w:rPr>
      <w:rFonts w:ascii="Arial" w:hAnsi="Arial"/>
      <w:sz w:val="22"/>
      <w:szCs w:val="22"/>
    </w:rPr>
  </w:style>
  <w:style w:type="paragraph" w:customStyle="1" w:styleId="NumberedList">
    <w:name w:val="Numbered List"/>
    <w:basedOn w:val="Normal"/>
    <w:link w:val="NumberedListChar"/>
    <w:rsid w:val="00897532"/>
    <w:pPr>
      <w:numPr>
        <w:numId w:val="2"/>
      </w:numPr>
    </w:pPr>
  </w:style>
  <w:style w:type="paragraph" w:customStyle="1" w:styleId="TableBullet1">
    <w:name w:val="Table Bullet 1"/>
    <w:basedOn w:val="ListParagraph"/>
    <w:link w:val="TableBullet1Char"/>
    <w:qFormat/>
    <w:rsid w:val="00CC7026"/>
    <w:pPr>
      <w:numPr>
        <w:numId w:val="23"/>
      </w:numPr>
      <w:jc w:val="left"/>
    </w:pPr>
    <w:rPr>
      <w:sz w:val="20"/>
    </w:rPr>
  </w:style>
  <w:style w:type="paragraph" w:customStyle="1" w:styleId="TableBullet2">
    <w:name w:val="Table Bullet 2"/>
    <w:basedOn w:val="ListParagraph"/>
    <w:link w:val="TableBullet2Char"/>
    <w:qFormat/>
    <w:rsid w:val="00CC7026"/>
    <w:pPr>
      <w:numPr>
        <w:ilvl w:val="1"/>
        <w:numId w:val="24"/>
      </w:numPr>
      <w:ind w:left="697" w:hanging="180"/>
      <w:jc w:val="left"/>
    </w:pPr>
    <w:rPr>
      <w:sz w:val="20"/>
      <w:szCs w:val="20"/>
    </w:rPr>
  </w:style>
  <w:style w:type="paragraph" w:customStyle="1" w:styleId="TableHeading">
    <w:name w:val="Table Heading"/>
    <w:basedOn w:val="Normal"/>
    <w:next w:val="Normal"/>
    <w:rsid w:val="00897532"/>
    <w:pPr>
      <w:jc w:val="center"/>
    </w:pPr>
    <w:rPr>
      <w:b/>
      <w:color w:val="FFFFFF" w:themeColor="background1"/>
    </w:rPr>
  </w:style>
  <w:style w:type="character" w:customStyle="1" w:styleId="HeaderChar">
    <w:name w:val="Header Char"/>
    <w:basedOn w:val="DefaultParagraphFont"/>
    <w:link w:val="Header"/>
    <w:uiPriority w:val="99"/>
    <w:rsid w:val="00F11728"/>
  </w:style>
  <w:style w:type="character" w:customStyle="1" w:styleId="ListParagraphChar">
    <w:name w:val="List Paragraph Char"/>
    <w:basedOn w:val="DefaultParagraphFont"/>
    <w:link w:val="ListParagraph"/>
    <w:uiPriority w:val="34"/>
    <w:rsid w:val="00CE5B64"/>
    <w:rPr>
      <w:rFonts w:ascii="Arial" w:hAnsi="Arial"/>
      <w:sz w:val="22"/>
    </w:rPr>
  </w:style>
  <w:style w:type="character" w:customStyle="1" w:styleId="Level1BulletChar">
    <w:name w:val="Level 1 Bullet Char"/>
    <w:basedOn w:val="DefaultParagraphFont"/>
    <w:link w:val="Level1Bullet"/>
    <w:rsid w:val="00551273"/>
  </w:style>
  <w:style w:type="character" w:customStyle="1" w:styleId="TableBullet1Char">
    <w:name w:val="Table Bullet 1 Char"/>
    <w:basedOn w:val="ListParagraphChar"/>
    <w:link w:val="TableBullet1"/>
    <w:rsid w:val="00CC7026"/>
    <w:rPr>
      <w:rFonts w:ascii="Arial" w:hAnsi="Arial"/>
      <w:sz w:val="20"/>
    </w:rPr>
  </w:style>
  <w:style w:type="paragraph" w:customStyle="1" w:styleId="MinorLeft">
    <w:name w:val="Minor Left"/>
    <w:basedOn w:val="Normal"/>
    <w:link w:val="MinorLeftChar"/>
    <w:qFormat/>
    <w:rsid w:val="004F7FD4"/>
    <w:pPr>
      <w:spacing w:after="280"/>
      <w:outlineLvl w:val="1"/>
    </w:pPr>
    <w:rPr>
      <w:rFonts w:cstheme="minorHAnsi"/>
      <w:b/>
      <w:color w:val="5F6062" w:themeColor="accent1"/>
    </w:rPr>
  </w:style>
  <w:style w:type="character" w:customStyle="1" w:styleId="MinorLeftChar">
    <w:name w:val="Minor Left Char"/>
    <w:basedOn w:val="DefaultParagraphFont"/>
    <w:link w:val="MinorLeft"/>
    <w:rsid w:val="004F7FD4"/>
    <w:rPr>
      <w:rFonts w:cstheme="minorHAnsi"/>
      <w:b/>
      <w:color w:val="5F6062" w:themeColor="accent1"/>
    </w:rPr>
  </w:style>
  <w:style w:type="paragraph" w:customStyle="1" w:styleId="TableBullet3">
    <w:name w:val="Table Bullet 3"/>
    <w:basedOn w:val="ListParagraph"/>
    <w:link w:val="TableBullet3Char"/>
    <w:qFormat/>
    <w:rsid w:val="000D15F5"/>
    <w:pPr>
      <w:numPr>
        <w:ilvl w:val="2"/>
        <w:numId w:val="25"/>
      </w:numPr>
      <w:ind w:left="967" w:hanging="180"/>
      <w:jc w:val="left"/>
    </w:pPr>
    <w:rPr>
      <w:sz w:val="20"/>
      <w:szCs w:val="20"/>
    </w:rPr>
  </w:style>
  <w:style w:type="character" w:customStyle="1" w:styleId="TableBullet2Char">
    <w:name w:val="Table Bullet 2 Char"/>
    <w:basedOn w:val="ListParagraphChar"/>
    <w:link w:val="TableBullet2"/>
    <w:rsid w:val="00CC7026"/>
    <w:rPr>
      <w:rFonts w:ascii="Arial" w:hAnsi="Arial"/>
      <w:sz w:val="20"/>
      <w:szCs w:val="20"/>
    </w:rPr>
  </w:style>
  <w:style w:type="table" w:styleId="TableGrid">
    <w:name w:val="Table Grid"/>
    <w:basedOn w:val="TableNormal"/>
    <w:uiPriority w:val="39"/>
    <w:rsid w:val="004D32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11728"/>
    <w:pPr>
      <w:tabs>
        <w:tab w:val="center" w:pos="4680"/>
        <w:tab w:val="right" w:pos="9360"/>
      </w:tabs>
    </w:pPr>
  </w:style>
  <w:style w:type="character" w:customStyle="1" w:styleId="TableBullet3Char">
    <w:name w:val="Table Bullet 3 Char"/>
    <w:basedOn w:val="ListParagraphChar"/>
    <w:link w:val="TableBullet3"/>
    <w:rsid w:val="000D15F5"/>
    <w:rPr>
      <w:rFonts w:ascii="Arial" w:hAnsi="Arial"/>
      <w:sz w:val="20"/>
      <w:szCs w:val="20"/>
    </w:rPr>
  </w:style>
  <w:style w:type="character" w:customStyle="1" w:styleId="FooterChar">
    <w:name w:val="Footer Char"/>
    <w:basedOn w:val="DefaultParagraphFont"/>
    <w:link w:val="Footer"/>
    <w:uiPriority w:val="99"/>
    <w:rsid w:val="00F11728"/>
  </w:style>
  <w:style w:type="character" w:customStyle="1" w:styleId="Heading1Char">
    <w:name w:val="Heading 1 Char"/>
    <w:aliases w:val="Resume Major Side Char"/>
    <w:basedOn w:val="DefaultParagraphFont"/>
    <w:link w:val="Heading1"/>
    <w:uiPriority w:val="9"/>
    <w:rsid w:val="00BE243F"/>
    <w:rPr>
      <w:rFonts w:ascii="Arial Narrow" w:hAnsi="Arial Narrow"/>
      <w:b/>
      <w:i/>
      <w:color w:val="5F6062" w:themeColor="background2"/>
    </w:rPr>
  </w:style>
  <w:style w:type="paragraph" w:styleId="Subtitle">
    <w:name w:val="Subtitle"/>
    <w:aliases w:val="Resume Header: Resume of"/>
    <w:basedOn w:val="Normal"/>
    <w:next w:val="Normal"/>
    <w:link w:val="SubtitleChar"/>
    <w:uiPriority w:val="11"/>
    <w:qFormat/>
    <w:rsid w:val="00F11728"/>
    <w:pPr>
      <w:tabs>
        <w:tab w:val="right" w:pos="10080"/>
      </w:tabs>
      <w:jc w:val="right"/>
    </w:pPr>
    <w:rPr>
      <w:rFonts w:eastAsiaTheme="minorHAnsi" w:cs="Arial"/>
      <w:i/>
      <w:noProof/>
      <w:sz w:val="20"/>
      <w:szCs w:val="20"/>
    </w:rPr>
  </w:style>
  <w:style w:type="paragraph" w:customStyle="1" w:styleId="ResumeBulletSpecialization">
    <w:name w:val="Resume Bullet Specialization"/>
    <w:basedOn w:val="Normal"/>
    <w:rsid w:val="00B54D3E"/>
  </w:style>
  <w:style w:type="paragraph" w:customStyle="1" w:styleId="Level4Bullet">
    <w:name w:val="Level 4 Bullet"/>
    <w:basedOn w:val="Normal"/>
    <w:link w:val="Level4BulletChar"/>
    <w:qFormat/>
    <w:rsid w:val="00CC7026"/>
    <w:pPr>
      <w:numPr>
        <w:ilvl w:val="3"/>
        <w:numId w:val="19"/>
      </w:numPr>
    </w:pPr>
  </w:style>
  <w:style w:type="character" w:customStyle="1" w:styleId="SubtitleChar">
    <w:name w:val="Subtitle Char"/>
    <w:aliases w:val="Resume Header: Resume of Char"/>
    <w:basedOn w:val="DefaultParagraphFont"/>
    <w:link w:val="Subtitle"/>
    <w:uiPriority w:val="11"/>
    <w:rsid w:val="00F11728"/>
    <w:rPr>
      <w:rFonts w:eastAsiaTheme="minorHAnsi" w:cs="Arial"/>
      <w:i/>
      <w:noProof/>
      <w:sz w:val="20"/>
      <w:szCs w:val="20"/>
    </w:rPr>
  </w:style>
  <w:style w:type="character" w:customStyle="1" w:styleId="Level3BulletChar">
    <w:name w:val="Level 3 Bullet Char"/>
    <w:basedOn w:val="DefaultParagraphFont"/>
    <w:link w:val="Level3Bullet"/>
    <w:rsid w:val="00551273"/>
  </w:style>
  <w:style w:type="character" w:customStyle="1" w:styleId="Level4BulletChar">
    <w:name w:val="Level 4 Bullet Char"/>
    <w:basedOn w:val="Level3BulletChar"/>
    <w:link w:val="Level4Bullet"/>
    <w:rsid w:val="00CC7026"/>
  </w:style>
  <w:style w:type="character" w:styleId="SubtleEmphasis">
    <w:name w:val="Subtle Emphasis"/>
    <w:aliases w:val="Resume: Name and Title,Resume Header: Name and Title"/>
    <w:uiPriority w:val="19"/>
    <w:qFormat/>
    <w:rsid w:val="00F11728"/>
    <w:rPr>
      <w:rFonts w:cs="Arial"/>
      <w:b/>
      <w:sz w:val="24"/>
      <w:szCs w:val="24"/>
    </w:rPr>
  </w:style>
  <w:style w:type="paragraph" w:customStyle="1" w:styleId="ResumeNormal">
    <w:name w:val="Resume Normal"/>
    <w:basedOn w:val="Normal"/>
    <w:link w:val="ResumeNormalChar"/>
    <w:qFormat/>
    <w:rsid w:val="00BE243F"/>
    <w:pPr>
      <w:jc w:val="left"/>
    </w:pPr>
    <w:rPr>
      <w:rFonts w:cs="Arial"/>
      <w:sz w:val="20"/>
      <w:szCs w:val="20"/>
    </w:rPr>
  </w:style>
  <w:style w:type="numbering" w:customStyle="1" w:styleId="Style2">
    <w:name w:val="Style2"/>
    <w:uiPriority w:val="99"/>
    <w:rsid w:val="007D57B4"/>
    <w:pPr>
      <w:numPr>
        <w:numId w:val="10"/>
      </w:numPr>
    </w:pPr>
  </w:style>
  <w:style w:type="paragraph" w:customStyle="1" w:styleId="ResumeBullet">
    <w:name w:val="Resume Bullet"/>
    <w:basedOn w:val="ResumeNormal"/>
    <w:link w:val="ResumeBulletChar"/>
    <w:qFormat/>
    <w:rsid w:val="00F11728"/>
    <w:pPr>
      <w:numPr>
        <w:numId w:val="6"/>
      </w:numPr>
    </w:pPr>
  </w:style>
  <w:style w:type="character" w:customStyle="1" w:styleId="ResumeNormalChar">
    <w:name w:val="Resume Normal Char"/>
    <w:basedOn w:val="DefaultParagraphFont"/>
    <w:link w:val="ResumeNormal"/>
    <w:rsid w:val="00BE243F"/>
    <w:rPr>
      <w:rFonts w:cs="Arial"/>
      <w:sz w:val="20"/>
      <w:szCs w:val="20"/>
    </w:rPr>
  </w:style>
  <w:style w:type="character" w:customStyle="1" w:styleId="ResumeBulletChar">
    <w:name w:val="Resume Bullet Char"/>
    <w:link w:val="ResumeBullet"/>
    <w:rsid w:val="00BE243F"/>
    <w:rPr>
      <w:rFonts w:cs="Arial"/>
      <w:sz w:val="20"/>
      <w:szCs w:val="20"/>
    </w:rPr>
  </w:style>
  <w:style w:type="numbering" w:customStyle="1" w:styleId="Style3">
    <w:name w:val="Style3"/>
    <w:uiPriority w:val="99"/>
    <w:rsid w:val="007D57B4"/>
    <w:pPr>
      <w:numPr>
        <w:numId w:val="12"/>
      </w:numPr>
    </w:pPr>
  </w:style>
  <w:style w:type="numbering" w:customStyle="1" w:styleId="Style4">
    <w:name w:val="Style4"/>
    <w:uiPriority w:val="99"/>
    <w:rsid w:val="007D57B4"/>
    <w:pPr>
      <w:numPr>
        <w:numId w:val="13"/>
      </w:numPr>
    </w:pPr>
  </w:style>
  <w:style w:type="numbering" w:customStyle="1" w:styleId="Style5">
    <w:name w:val="Style5"/>
    <w:uiPriority w:val="99"/>
    <w:rsid w:val="007D57B4"/>
    <w:pPr>
      <w:numPr>
        <w:numId w:val="14"/>
      </w:numPr>
    </w:pPr>
  </w:style>
  <w:style w:type="paragraph" w:customStyle="1" w:styleId="TableBulletLevel1">
    <w:name w:val="Table Bullet Level 1"/>
    <w:basedOn w:val="Normal"/>
    <w:qFormat/>
    <w:rsid w:val="00CA6BE4"/>
    <w:pPr>
      <w:numPr>
        <w:numId w:val="26"/>
      </w:numPr>
      <w:tabs>
        <w:tab w:val="clear" w:pos="360"/>
        <w:tab w:val="left" w:pos="245"/>
      </w:tabs>
      <w:jc w:val="left"/>
    </w:pPr>
  </w:style>
  <w:style w:type="paragraph" w:styleId="BalloonText">
    <w:name w:val="Balloon Text"/>
    <w:basedOn w:val="Normal"/>
    <w:link w:val="BalloonTextChar"/>
    <w:semiHidden/>
    <w:unhideWhenUsed/>
    <w:rsid w:val="00DA0651"/>
    <w:rPr>
      <w:rFonts w:ascii="Segoe UI" w:hAnsi="Segoe UI" w:cs="Segoe UI"/>
      <w:sz w:val="18"/>
      <w:szCs w:val="18"/>
    </w:rPr>
  </w:style>
  <w:style w:type="character" w:customStyle="1" w:styleId="BalloonTextChar">
    <w:name w:val="Balloon Text Char"/>
    <w:basedOn w:val="DefaultParagraphFont"/>
    <w:link w:val="BalloonText"/>
    <w:semiHidden/>
    <w:rsid w:val="00DA0651"/>
    <w:rPr>
      <w:rFonts w:ascii="Segoe UI" w:hAnsi="Segoe UI" w:cs="Segoe UI"/>
      <w:sz w:val="18"/>
      <w:szCs w:val="18"/>
    </w:rPr>
  </w:style>
  <w:style w:type="paragraph" w:styleId="FootnoteText">
    <w:name w:val="footnote text"/>
    <w:basedOn w:val="Normal"/>
    <w:link w:val="FootnoteTextChar"/>
    <w:uiPriority w:val="99"/>
    <w:semiHidden/>
    <w:unhideWhenUsed/>
    <w:rsid w:val="00DE4F98"/>
    <w:pPr>
      <w:jc w:val="left"/>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DE4F98"/>
    <w:rPr>
      <w:rFonts w:asciiTheme="minorHAnsi" w:eastAsiaTheme="minorHAnsi" w:hAnsiTheme="minorHAnsi" w:cstheme="minorBidi"/>
      <w:sz w:val="20"/>
      <w:szCs w:val="20"/>
    </w:rPr>
  </w:style>
  <w:style w:type="character" w:styleId="FootnoteReference">
    <w:name w:val="footnote reference"/>
    <w:basedOn w:val="DefaultParagraphFont"/>
    <w:uiPriority w:val="99"/>
    <w:semiHidden/>
    <w:unhideWhenUsed/>
    <w:rsid w:val="00DE4F98"/>
    <w:rPr>
      <w:vertAlign w:val="superscript"/>
    </w:rPr>
  </w:style>
  <w:style w:type="character" w:styleId="CommentReference">
    <w:name w:val="annotation reference"/>
    <w:basedOn w:val="DefaultParagraphFont"/>
    <w:uiPriority w:val="99"/>
    <w:semiHidden/>
    <w:unhideWhenUsed/>
    <w:rsid w:val="00DE4F98"/>
    <w:rPr>
      <w:sz w:val="16"/>
      <w:szCs w:val="16"/>
    </w:rPr>
  </w:style>
  <w:style w:type="paragraph" w:styleId="CommentText">
    <w:name w:val="annotation text"/>
    <w:basedOn w:val="Normal"/>
    <w:link w:val="CommentTextChar"/>
    <w:uiPriority w:val="99"/>
    <w:semiHidden/>
    <w:unhideWhenUsed/>
    <w:rsid w:val="00DE4F98"/>
    <w:pPr>
      <w:spacing w:after="160"/>
      <w:jc w:val="left"/>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DE4F98"/>
    <w:rPr>
      <w:rFonts w:asciiTheme="minorHAnsi" w:eastAsiaTheme="minorHAnsi" w:hAnsiTheme="minorHAnsi" w:cstheme="minorBidi"/>
      <w:sz w:val="20"/>
      <w:szCs w:val="20"/>
    </w:rPr>
  </w:style>
  <w:style w:type="character" w:styleId="Hyperlink">
    <w:name w:val="Hyperlink"/>
    <w:basedOn w:val="DefaultParagraphFont"/>
    <w:uiPriority w:val="99"/>
    <w:unhideWhenUsed/>
    <w:rsid w:val="003A4C29"/>
    <w:rPr>
      <w:color w:val="5F6062" w:themeColor="hyperlink"/>
      <w:u w:val="single"/>
    </w:rPr>
  </w:style>
  <w:style w:type="paragraph" w:styleId="CommentSubject">
    <w:name w:val="annotation subject"/>
    <w:basedOn w:val="CommentText"/>
    <w:next w:val="CommentText"/>
    <w:link w:val="CommentSubjectChar"/>
    <w:semiHidden/>
    <w:unhideWhenUsed/>
    <w:rsid w:val="00940721"/>
    <w:pPr>
      <w:spacing w:after="0"/>
      <w:jc w:val="both"/>
    </w:pPr>
    <w:rPr>
      <w:rFonts w:ascii="Arial" w:eastAsia="Times New Roman" w:hAnsi="Arial" w:cs="Times New Roman"/>
      <w:b/>
      <w:bCs/>
    </w:rPr>
  </w:style>
  <w:style w:type="character" w:customStyle="1" w:styleId="CommentSubjectChar">
    <w:name w:val="Comment Subject Char"/>
    <w:basedOn w:val="CommentTextChar"/>
    <w:link w:val="CommentSubject"/>
    <w:semiHidden/>
    <w:rsid w:val="00940721"/>
    <w:rPr>
      <w:rFonts w:asciiTheme="minorHAnsi" w:eastAsiaTheme="minorHAnsi" w:hAnsiTheme="minorHAnsi" w:cstheme="minorBidi"/>
      <w:b/>
      <w:bCs/>
      <w:sz w:val="20"/>
      <w:szCs w:val="20"/>
    </w:rPr>
  </w:style>
  <w:style w:type="paragraph" w:styleId="Revision">
    <w:name w:val="Revision"/>
    <w:hidden/>
    <w:uiPriority w:val="99"/>
    <w:semiHidden/>
    <w:rsid w:val="00E057DA"/>
  </w:style>
  <w:style w:type="paragraph" w:styleId="EndnoteText">
    <w:name w:val="endnote text"/>
    <w:basedOn w:val="Normal"/>
    <w:link w:val="EndnoteTextChar"/>
    <w:semiHidden/>
    <w:unhideWhenUsed/>
    <w:rsid w:val="002149AA"/>
    <w:rPr>
      <w:sz w:val="20"/>
      <w:szCs w:val="20"/>
    </w:rPr>
  </w:style>
  <w:style w:type="character" w:customStyle="1" w:styleId="EndnoteTextChar">
    <w:name w:val="Endnote Text Char"/>
    <w:basedOn w:val="DefaultParagraphFont"/>
    <w:link w:val="EndnoteText"/>
    <w:semiHidden/>
    <w:rsid w:val="002149AA"/>
    <w:rPr>
      <w:sz w:val="20"/>
      <w:szCs w:val="20"/>
    </w:rPr>
  </w:style>
  <w:style w:type="character" w:styleId="EndnoteReference">
    <w:name w:val="endnote reference"/>
    <w:basedOn w:val="DefaultParagraphFont"/>
    <w:semiHidden/>
    <w:unhideWhenUsed/>
    <w:rsid w:val="002149AA"/>
    <w:rPr>
      <w:vertAlign w:val="superscript"/>
    </w:rPr>
  </w:style>
  <w:style w:type="character" w:styleId="FollowedHyperlink">
    <w:name w:val="FollowedHyperlink"/>
    <w:basedOn w:val="DefaultParagraphFont"/>
    <w:semiHidden/>
    <w:unhideWhenUsed/>
    <w:rsid w:val="00577B61"/>
    <w:rPr>
      <w:color w:val="5F6062" w:themeColor="followedHyperlink"/>
      <w:u w:val="single"/>
    </w:rPr>
  </w:style>
  <w:style w:type="character" w:styleId="UnresolvedMention">
    <w:name w:val="Unresolved Mention"/>
    <w:basedOn w:val="DefaultParagraphFont"/>
    <w:uiPriority w:val="99"/>
    <w:semiHidden/>
    <w:unhideWhenUsed/>
    <w:rsid w:val="00B90C3D"/>
    <w:rPr>
      <w:color w:val="605E5C"/>
      <w:shd w:val="clear" w:color="auto" w:fill="E1DFDD"/>
    </w:rPr>
  </w:style>
  <w:style w:type="character" w:customStyle="1" w:styleId="Style">
    <w:name w:val="Style"/>
    <w:basedOn w:val="FootnoteReference"/>
    <w:rsid w:val="005A0D4A"/>
    <w:rPr>
      <w:rFonts w:ascii="Arial" w:hAnsi="Arial"/>
      <w:b/>
      <w:bCs/>
      <w:sz w:val="16"/>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8870">
      <w:bodyDiv w:val="1"/>
      <w:marLeft w:val="0"/>
      <w:marRight w:val="0"/>
      <w:marTop w:val="0"/>
      <w:marBottom w:val="0"/>
      <w:divBdr>
        <w:top w:val="none" w:sz="0" w:space="0" w:color="auto"/>
        <w:left w:val="none" w:sz="0" w:space="0" w:color="auto"/>
        <w:bottom w:val="none" w:sz="0" w:space="0" w:color="auto"/>
        <w:right w:val="none" w:sz="0" w:space="0" w:color="auto"/>
      </w:divBdr>
      <w:divsChild>
        <w:div w:id="2004313515">
          <w:marLeft w:val="0"/>
          <w:marRight w:val="0"/>
          <w:marTop w:val="0"/>
          <w:marBottom w:val="0"/>
          <w:divBdr>
            <w:top w:val="none" w:sz="0" w:space="0" w:color="auto"/>
            <w:left w:val="none" w:sz="0" w:space="0" w:color="auto"/>
            <w:bottom w:val="none" w:sz="0" w:space="0" w:color="auto"/>
            <w:right w:val="none" w:sz="0" w:space="0" w:color="auto"/>
          </w:divBdr>
          <w:divsChild>
            <w:div w:id="516768732">
              <w:marLeft w:val="0"/>
              <w:marRight w:val="0"/>
              <w:marTop w:val="0"/>
              <w:marBottom w:val="0"/>
              <w:divBdr>
                <w:top w:val="none" w:sz="0" w:space="0" w:color="auto"/>
                <w:left w:val="none" w:sz="0" w:space="0" w:color="auto"/>
                <w:bottom w:val="none" w:sz="0" w:space="0" w:color="auto"/>
                <w:right w:val="none" w:sz="0" w:space="0" w:color="auto"/>
              </w:divBdr>
              <w:divsChild>
                <w:div w:id="260261383">
                  <w:marLeft w:val="0"/>
                  <w:marRight w:val="0"/>
                  <w:marTop w:val="0"/>
                  <w:marBottom w:val="0"/>
                  <w:divBdr>
                    <w:top w:val="none" w:sz="0" w:space="0" w:color="auto"/>
                    <w:left w:val="none" w:sz="0" w:space="0" w:color="auto"/>
                    <w:bottom w:val="none" w:sz="0" w:space="0" w:color="auto"/>
                    <w:right w:val="none" w:sz="0" w:space="0" w:color="auto"/>
                  </w:divBdr>
                  <w:divsChild>
                    <w:div w:id="97355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65113">
      <w:bodyDiv w:val="1"/>
      <w:marLeft w:val="0"/>
      <w:marRight w:val="0"/>
      <w:marTop w:val="0"/>
      <w:marBottom w:val="0"/>
      <w:divBdr>
        <w:top w:val="none" w:sz="0" w:space="0" w:color="auto"/>
        <w:left w:val="none" w:sz="0" w:space="0" w:color="auto"/>
        <w:bottom w:val="none" w:sz="0" w:space="0" w:color="auto"/>
        <w:right w:val="none" w:sz="0" w:space="0" w:color="auto"/>
      </w:divBdr>
      <w:divsChild>
        <w:div w:id="2041585206">
          <w:marLeft w:val="0"/>
          <w:marRight w:val="0"/>
          <w:marTop w:val="0"/>
          <w:marBottom w:val="0"/>
          <w:divBdr>
            <w:top w:val="none" w:sz="0" w:space="0" w:color="auto"/>
            <w:left w:val="none" w:sz="0" w:space="0" w:color="auto"/>
            <w:bottom w:val="none" w:sz="0" w:space="0" w:color="auto"/>
            <w:right w:val="none" w:sz="0" w:space="0" w:color="auto"/>
          </w:divBdr>
          <w:divsChild>
            <w:div w:id="1841700489">
              <w:marLeft w:val="0"/>
              <w:marRight w:val="0"/>
              <w:marTop w:val="0"/>
              <w:marBottom w:val="0"/>
              <w:divBdr>
                <w:top w:val="none" w:sz="0" w:space="0" w:color="auto"/>
                <w:left w:val="none" w:sz="0" w:space="0" w:color="auto"/>
                <w:bottom w:val="none" w:sz="0" w:space="0" w:color="auto"/>
                <w:right w:val="none" w:sz="0" w:space="0" w:color="auto"/>
              </w:divBdr>
              <w:divsChild>
                <w:div w:id="735276946">
                  <w:marLeft w:val="0"/>
                  <w:marRight w:val="0"/>
                  <w:marTop w:val="0"/>
                  <w:marBottom w:val="0"/>
                  <w:divBdr>
                    <w:top w:val="none" w:sz="0" w:space="0" w:color="auto"/>
                    <w:left w:val="none" w:sz="0" w:space="0" w:color="auto"/>
                    <w:bottom w:val="none" w:sz="0" w:space="0" w:color="auto"/>
                    <w:right w:val="none" w:sz="0" w:space="0" w:color="auto"/>
                  </w:divBdr>
                  <w:divsChild>
                    <w:div w:id="71022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0473457">
      <w:bodyDiv w:val="1"/>
      <w:marLeft w:val="0"/>
      <w:marRight w:val="0"/>
      <w:marTop w:val="0"/>
      <w:marBottom w:val="0"/>
      <w:divBdr>
        <w:top w:val="none" w:sz="0" w:space="0" w:color="auto"/>
        <w:left w:val="none" w:sz="0" w:space="0" w:color="auto"/>
        <w:bottom w:val="none" w:sz="0" w:space="0" w:color="auto"/>
        <w:right w:val="none" w:sz="0" w:space="0" w:color="auto"/>
      </w:divBdr>
      <w:divsChild>
        <w:div w:id="1835606996">
          <w:marLeft w:val="0"/>
          <w:marRight w:val="0"/>
          <w:marTop w:val="0"/>
          <w:marBottom w:val="0"/>
          <w:divBdr>
            <w:top w:val="none" w:sz="0" w:space="0" w:color="auto"/>
            <w:left w:val="none" w:sz="0" w:space="0" w:color="auto"/>
            <w:bottom w:val="none" w:sz="0" w:space="0" w:color="auto"/>
            <w:right w:val="none" w:sz="0" w:space="0" w:color="auto"/>
          </w:divBdr>
          <w:divsChild>
            <w:div w:id="953829357">
              <w:marLeft w:val="0"/>
              <w:marRight w:val="0"/>
              <w:marTop w:val="0"/>
              <w:marBottom w:val="0"/>
              <w:divBdr>
                <w:top w:val="none" w:sz="0" w:space="0" w:color="auto"/>
                <w:left w:val="none" w:sz="0" w:space="0" w:color="auto"/>
                <w:bottom w:val="none" w:sz="0" w:space="0" w:color="auto"/>
                <w:right w:val="none" w:sz="0" w:space="0" w:color="auto"/>
              </w:divBdr>
              <w:divsChild>
                <w:div w:id="718359665">
                  <w:marLeft w:val="0"/>
                  <w:marRight w:val="0"/>
                  <w:marTop w:val="0"/>
                  <w:marBottom w:val="0"/>
                  <w:divBdr>
                    <w:top w:val="none" w:sz="0" w:space="0" w:color="auto"/>
                    <w:left w:val="none" w:sz="0" w:space="0" w:color="auto"/>
                    <w:bottom w:val="none" w:sz="0" w:space="0" w:color="auto"/>
                    <w:right w:val="none" w:sz="0" w:space="0" w:color="auto"/>
                  </w:divBdr>
                  <w:divsChild>
                    <w:div w:id="122568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627235">
      <w:bodyDiv w:val="1"/>
      <w:marLeft w:val="0"/>
      <w:marRight w:val="0"/>
      <w:marTop w:val="0"/>
      <w:marBottom w:val="0"/>
      <w:divBdr>
        <w:top w:val="none" w:sz="0" w:space="0" w:color="auto"/>
        <w:left w:val="none" w:sz="0" w:space="0" w:color="auto"/>
        <w:bottom w:val="none" w:sz="0" w:space="0" w:color="auto"/>
        <w:right w:val="none" w:sz="0" w:space="0" w:color="auto"/>
      </w:divBdr>
      <w:divsChild>
        <w:div w:id="617684845">
          <w:marLeft w:val="0"/>
          <w:marRight w:val="0"/>
          <w:marTop w:val="0"/>
          <w:marBottom w:val="0"/>
          <w:divBdr>
            <w:top w:val="none" w:sz="0" w:space="0" w:color="auto"/>
            <w:left w:val="none" w:sz="0" w:space="0" w:color="auto"/>
            <w:bottom w:val="none" w:sz="0" w:space="0" w:color="auto"/>
            <w:right w:val="none" w:sz="0" w:space="0" w:color="auto"/>
          </w:divBdr>
          <w:divsChild>
            <w:div w:id="48651485">
              <w:marLeft w:val="0"/>
              <w:marRight w:val="0"/>
              <w:marTop w:val="0"/>
              <w:marBottom w:val="0"/>
              <w:divBdr>
                <w:top w:val="none" w:sz="0" w:space="0" w:color="auto"/>
                <w:left w:val="none" w:sz="0" w:space="0" w:color="auto"/>
                <w:bottom w:val="none" w:sz="0" w:space="0" w:color="auto"/>
                <w:right w:val="none" w:sz="0" w:space="0" w:color="auto"/>
              </w:divBdr>
              <w:divsChild>
                <w:div w:id="1569999430">
                  <w:marLeft w:val="0"/>
                  <w:marRight w:val="0"/>
                  <w:marTop w:val="0"/>
                  <w:marBottom w:val="0"/>
                  <w:divBdr>
                    <w:top w:val="none" w:sz="0" w:space="0" w:color="auto"/>
                    <w:left w:val="none" w:sz="0" w:space="0" w:color="auto"/>
                    <w:bottom w:val="none" w:sz="0" w:space="0" w:color="auto"/>
                    <w:right w:val="none" w:sz="0" w:space="0" w:color="auto"/>
                  </w:divBdr>
                  <w:divsChild>
                    <w:div w:id="53296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6994629">
      <w:bodyDiv w:val="1"/>
      <w:marLeft w:val="0"/>
      <w:marRight w:val="0"/>
      <w:marTop w:val="0"/>
      <w:marBottom w:val="0"/>
      <w:divBdr>
        <w:top w:val="none" w:sz="0" w:space="0" w:color="auto"/>
        <w:left w:val="none" w:sz="0" w:space="0" w:color="auto"/>
        <w:bottom w:val="none" w:sz="0" w:space="0" w:color="auto"/>
        <w:right w:val="none" w:sz="0" w:space="0" w:color="auto"/>
      </w:divBdr>
    </w:div>
    <w:div w:id="965158748">
      <w:bodyDiv w:val="1"/>
      <w:marLeft w:val="0"/>
      <w:marRight w:val="0"/>
      <w:marTop w:val="0"/>
      <w:marBottom w:val="0"/>
      <w:divBdr>
        <w:top w:val="none" w:sz="0" w:space="0" w:color="auto"/>
        <w:left w:val="none" w:sz="0" w:space="0" w:color="auto"/>
        <w:bottom w:val="none" w:sz="0" w:space="0" w:color="auto"/>
        <w:right w:val="none" w:sz="0" w:space="0" w:color="auto"/>
      </w:divBdr>
      <w:divsChild>
        <w:div w:id="753018487">
          <w:marLeft w:val="0"/>
          <w:marRight w:val="0"/>
          <w:marTop w:val="0"/>
          <w:marBottom w:val="0"/>
          <w:divBdr>
            <w:top w:val="none" w:sz="0" w:space="0" w:color="auto"/>
            <w:left w:val="none" w:sz="0" w:space="0" w:color="auto"/>
            <w:bottom w:val="none" w:sz="0" w:space="0" w:color="auto"/>
            <w:right w:val="none" w:sz="0" w:space="0" w:color="auto"/>
          </w:divBdr>
          <w:divsChild>
            <w:div w:id="337122470">
              <w:marLeft w:val="0"/>
              <w:marRight w:val="0"/>
              <w:marTop w:val="0"/>
              <w:marBottom w:val="0"/>
              <w:divBdr>
                <w:top w:val="none" w:sz="0" w:space="0" w:color="auto"/>
                <w:left w:val="none" w:sz="0" w:space="0" w:color="auto"/>
                <w:bottom w:val="none" w:sz="0" w:space="0" w:color="auto"/>
                <w:right w:val="none" w:sz="0" w:space="0" w:color="auto"/>
              </w:divBdr>
              <w:divsChild>
                <w:div w:id="2020615211">
                  <w:marLeft w:val="0"/>
                  <w:marRight w:val="0"/>
                  <w:marTop w:val="0"/>
                  <w:marBottom w:val="0"/>
                  <w:divBdr>
                    <w:top w:val="none" w:sz="0" w:space="0" w:color="auto"/>
                    <w:left w:val="none" w:sz="0" w:space="0" w:color="auto"/>
                    <w:bottom w:val="none" w:sz="0" w:space="0" w:color="auto"/>
                    <w:right w:val="none" w:sz="0" w:space="0" w:color="auto"/>
                  </w:divBdr>
                  <w:divsChild>
                    <w:div w:id="120470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740939">
      <w:bodyDiv w:val="1"/>
      <w:marLeft w:val="0"/>
      <w:marRight w:val="0"/>
      <w:marTop w:val="0"/>
      <w:marBottom w:val="0"/>
      <w:divBdr>
        <w:top w:val="none" w:sz="0" w:space="0" w:color="auto"/>
        <w:left w:val="none" w:sz="0" w:space="0" w:color="auto"/>
        <w:bottom w:val="none" w:sz="0" w:space="0" w:color="auto"/>
        <w:right w:val="none" w:sz="0" w:space="0" w:color="auto"/>
      </w:divBdr>
      <w:divsChild>
        <w:div w:id="1913848921">
          <w:marLeft w:val="0"/>
          <w:marRight w:val="0"/>
          <w:marTop w:val="0"/>
          <w:marBottom w:val="0"/>
          <w:divBdr>
            <w:top w:val="none" w:sz="0" w:space="0" w:color="auto"/>
            <w:left w:val="none" w:sz="0" w:space="0" w:color="auto"/>
            <w:bottom w:val="none" w:sz="0" w:space="0" w:color="auto"/>
            <w:right w:val="none" w:sz="0" w:space="0" w:color="auto"/>
          </w:divBdr>
          <w:divsChild>
            <w:div w:id="552423432">
              <w:marLeft w:val="0"/>
              <w:marRight w:val="0"/>
              <w:marTop w:val="0"/>
              <w:marBottom w:val="0"/>
              <w:divBdr>
                <w:top w:val="none" w:sz="0" w:space="0" w:color="auto"/>
                <w:left w:val="none" w:sz="0" w:space="0" w:color="auto"/>
                <w:bottom w:val="none" w:sz="0" w:space="0" w:color="auto"/>
                <w:right w:val="none" w:sz="0" w:space="0" w:color="auto"/>
              </w:divBdr>
              <w:divsChild>
                <w:div w:id="62914861">
                  <w:marLeft w:val="0"/>
                  <w:marRight w:val="0"/>
                  <w:marTop w:val="0"/>
                  <w:marBottom w:val="0"/>
                  <w:divBdr>
                    <w:top w:val="none" w:sz="0" w:space="0" w:color="auto"/>
                    <w:left w:val="none" w:sz="0" w:space="0" w:color="auto"/>
                    <w:bottom w:val="none" w:sz="0" w:space="0" w:color="auto"/>
                    <w:right w:val="none" w:sz="0" w:space="0" w:color="auto"/>
                  </w:divBdr>
                  <w:divsChild>
                    <w:div w:id="177631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951724">
      <w:bodyDiv w:val="1"/>
      <w:marLeft w:val="0"/>
      <w:marRight w:val="0"/>
      <w:marTop w:val="0"/>
      <w:marBottom w:val="0"/>
      <w:divBdr>
        <w:top w:val="none" w:sz="0" w:space="0" w:color="auto"/>
        <w:left w:val="none" w:sz="0" w:space="0" w:color="auto"/>
        <w:bottom w:val="none" w:sz="0" w:space="0" w:color="auto"/>
        <w:right w:val="none" w:sz="0" w:space="0" w:color="auto"/>
      </w:divBdr>
      <w:divsChild>
        <w:div w:id="1032078070">
          <w:marLeft w:val="0"/>
          <w:marRight w:val="0"/>
          <w:marTop w:val="0"/>
          <w:marBottom w:val="0"/>
          <w:divBdr>
            <w:top w:val="none" w:sz="0" w:space="0" w:color="auto"/>
            <w:left w:val="none" w:sz="0" w:space="0" w:color="auto"/>
            <w:bottom w:val="none" w:sz="0" w:space="0" w:color="auto"/>
            <w:right w:val="none" w:sz="0" w:space="0" w:color="auto"/>
          </w:divBdr>
          <w:divsChild>
            <w:div w:id="2077430834">
              <w:marLeft w:val="0"/>
              <w:marRight w:val="0"/>
              <w:marTop w:val="0"/>
              <w:marBottom w:val="0"/>
              <w:divBdr>
                <w:top w:val="none" w:sz="0" w:space="0" w:color="auto"/>
                <w:left w:val="none" w:sz="0" w:space="0" w:color="auto"/>
                <w:bottom w:val="none" w:sz="0" w:space="0" w:color="auto"/>
                <w:right w:val="none" w:sz="0" w:space="0" w:color="auto"/>
              </w:divBdr>
              <w:divsChild>
                <w:div w:id="65031907">
                  <w:marLeft w:val="0"/>
                  <w:marRight w:val="0"/>
                  <w:marTop w:val="0"/>
                  <w:marBottom w:val="0"/>
                  <w:divBdr>
                    <w:top w:val="none" w:sz="0" w:space="0" w:color="auto"/>
                    <w:left w:val="none" w:sz="0" w:space="0" w:color="auto"/>
                    <w:bottom w:val="none" w:sz="0" w:space="0" w:color="auto"/>
                    <w:right w:val="none" w:sz="0" w:space="0" w:color="auto"/>
                  </w:divBdr>
                  <w:divsChild>
                    <w:div w:id="135006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8.jpg"/><Relationship Id="rId26" Type="http://schemas.openxmlformats.org/officeDocument/2006/relationships/hyperlink" Target="mailto:pquinlan@scottmadden.com" TargetMode="External"/><Relationship Id="rId3" Type="http://schemas.openxmlformats.org/officeDocument/2006/relationships/customXml" Target="../customXml/item3.xml"/><Relationship Id="rId21" Type="http://schemas.openxmlformats.org/officeDocument/2006/relationships/hyperlink" Target="https://www.scottmadden.com/contact-us/"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7.jpg"/><Relationship Id="rId25" Type="http://schemas.openxmlformats.org/officeDocument/2006/relationships/hyperlink" Target="https://www.linkedin.com/company/scottmadden-inc./" TargetMode="Externa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facebook.com/ScottMaddenInc/" TargetMode="Externa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hyperlink" Target="https://twitter.com/SM_Energy"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9.jp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 Id="rId22" Type="http://schemas.openxmlformats.org/officeDocument/2006/relationships/hyperlink" Target="https://www.scottmadden.com/" TargetMode="External"/><Relationship Id="rId27" Type="http://schemas.openxmlformats.org/officeDocument/2006/relationships/hyperlink" Target="mailto:mkerrigan@scottmadden.com" TargetMode="Externa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www.scottmadden.com/insight/one-step-forward-two-steps-backthe-worsening-risk-losing-carbon-free-generation-united-states/" TargetMode="External"/><Relationship Id="rId1" Type="http://schemas.openxmlformats.org/officeDocument/2006/relationships/hyperlink" Target="https://www.scottmadden.com/insight/six-keys-for-utilities-to-successfully-scale-energy-efficiency-program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kerrigan\OneDrive%20-%20ScottMadden\Documents\Decarbonization_Playbook_SOV_2021.dotx" TargetMode="External"/></Relationships>
</file>

<file path=word/theme/theme1.xml><?xml version="1.0" encoding="utf-8"?>
<a:theme xmlns:a="http://schemas.openxmlformats.org/drawingml/2006/main" name="SM Theme">
  <a:themeElements>
    <a:clrScheme name="SM_2016 1">
      <a:dk1>
        <a:srgbClr val="5F6062"/>
      </a:dk1>
      <a:lt1>
        <a:sysClr val="window" lastClr="FFFFFF"/>
      </a:lt1>
      <a:dk2>
        <a:srgbClr val="5F6062"/>
      </a:dk2>
      <a:lt2>
        <a:srgbClr val="5F6062"/>
      </a:lt2>
      <a:accent1>
        <a:srgbClr val="5F6062"/>
      </a:accent1>
      <a:accent2>
        <a:srgbClr val="26BCD7"/>
      </a:accent2>
      <a:accent3>
        <a:srgbClr val="EE8434"/>
      </a:accent3>
      <a:accent4>
        <a:srgbClr val="62BB46"/>
      </a:accent4>
      <a:accent5>
        <a:srgbClr val="C33A32"/>
      </a:accent5>
      <a:accent6>
        <a:srgbClr val="FDBA12"/>
      </a:accent6>
      <a:hlink>
        <a:srgbClr val="5F6062"/>
      </a:hlink>
      <a:folHlink>
        <a:srgbClr val="5F6062"/>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tx1"/>
        </a:solidFill>
        <a:ln>
          <a:solidFill>
            <a:schemeClr val="tx1"/>
          </a:solidFill>
        </a:ln>
        <a:effectLst/>
      </a:spPr>
      <a:bodyPr rtlCol="0" anchor="ctr" anchorCtr="1"/>
      <a:lstStyle>
        <a:defPPr algn="ctr">
          <a:defRPr sz="1200" b="1" dirty="0">
            <a:solidFill>
              <a:schemeClr val="bg1"/>
            </a:solidFill>
          </a:defRPr>
        </a:defPPr>
      </a:lstStyle>
      <a:style>
        <a:lnRef idx="1">
          <a:schemeClr val="accent1"/>
        </a:lnRef>
        <a:fillRef idx="3">
          <a:schemeClr val="accent1"/>
        </a:fillRef>
        <a:effectRef idx="2">
          <a:schemeClr val="accent1"/>
        </a:effectRef>
        <a:fontRef idx="minor">
          <a:schemeClr val="lt1"/>
        </a:fontRef>
      </a:style>
    </a:spDef>
    <a:lnDef>
      <a:spPr>
        <a:ln w="12700"/>
        <a:effectLst/>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967BA61422B70F499F0C73166DE658E2" ma:contentTypeVersion="12" ma:contentTypeDescription="Create a new document." ma:contentTypeScope="" ma:versionID="0dd88f2fb326d657a0c37ee2f7bf6103">
  <xsd:schema xmlns:xsd="http://www.w3.org/2001/XMLSchema" xmlns:xs="http://www.w3.org/2001/XMLSchema" xmlns:p="http://schemas.microsoft.com/office/2006/metadata/properties" xmlns:ns3="6b22dfb8-a3fa-47f7-893b-6cd7ca0ce684" xmlns:ns4="f3143fb0-f9a3-49f9-b69e-43d4f2c20cb1" targetNamespace="http://schemas.microsoft.com/office/2006/metadata/properties" ma:root="true" ma:fieldsID="61fe54ce22203326237f4ccc1f4c8e7d" ns3:_="" ns4:_="">
    <xsd:import namespace="6b22dfb8-a3fa-47f7-893b-6cd7ca0ce684"/>
    <xsd:import namespace="f3143fb0-f9a3-49f9-b69e-43d4f2c20cb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22dfb8-a3fa-47f7-893b-6cd7ca0ce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143fb0-f9a3-49f9-b69e-43d4f2c20cb1"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B2F2B6C-4E01-490A-A65C-58FD0D70BA42}">
  <ds:schemaRefs>
    <ds:schemaRef ds:uri="http://schemas.microsoft.com/sharepoint/v3/contenttype/forms"/>
  </ds:schemaRefs>
</ds:datastoreItem>
</file>

<file path=customXml/itemProps2.xml><?xml version="1.0" encoding="utf-8"?>
<ds:datastoreItem xmlns:ds="http://schemas.openxmlformats.org/officeDocument/2006/customXml" ds:itemID="{8AE2F5CD-B5F5-4380-A998-549C04847666}">
  <ds:schemaRefs>
    <ds:schemaRef ds:uri="http://schemas.openxmlformats.org/officeDocument/2006/bibliography"/>
  </ds:schemaRefs>
</ds:datastoreItem>
</file>

<file path=customXml/itemProps3.xml><?xml version="1.0" encoding="utf-8"?>
<ds:datastoreItem xmlns:ds="http://schemas.openxmlformats.org/officeDocument/2006/customXml" ds:itemID="{906928D9-67D7-4FF2-B01A-47A386F452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22dfb8-a3fa-47f7-893b-6cd7ca0ce684"/>
    <ds:schemaRef ds:uri="f3143fb0-f9a3-49f9-b69e-43d4f2c20c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0EE375-89EF-4178-98CA-8EEA05B304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Decarbonization_Playbook_SOV_2021</Template>
  <TotalTime>15</TotalTime>
  <Pages>12</Pages>
  <Words>2558</Words>
  <Characters>15720</Characters>
  <Application>Microsoft Office Word</Application>
  <DocSecurity>4</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18242</CharactersWithSpaces>
  <SharedDoc>false</SharedDoc>
  <HLinks>
    <vt:vector size="30" baseType="variant">
      <vt:variant>
        <vt:i4>8257640</vt:i4>
      </vt:variant>
      <vt:variant>
        <vt:i4>12</vt:i4>
      </vt:variant>
      <vt:variant>
        <vt:i4>0</vt:i4>
      </vt:variant>
      <vt:variant>
        <vt:i4>5</vt:i4>
      </vt:variant>
      <vt:variant>
        <vt:lpwstr>https://www.linkedin.com/company/scottmadden-inc./</vt:lpwstr>
      </vt:variant>
      <vt:variant>
        <vt:lpwstr/>
      </vt:variant>
      <vt:variant>
        <vt:i4>262231</vt:i4>
      </vt:variant>
      <vt:variant>
        <vt:i4>9</vt:i4>
      </vt:variant>
      <vt:variant>
        <vt:i4>0</vt:i4>
      </vt:variant>
      <vt:variant>
        <vt:i4>5</vt:i4>
      </vt:variant>
      <vt:variant>
        <vt:lpwstr>https://www.facebook.com/ScottMaddenInc/</vt:lpwstr>
      </vt:variant>
      <vt:variant>
        <vt:lpwstr/>
      </vt:variant>
      <vt:variant>
        <vt:i4>1245285</vt:i4>
      </vt:variant>
      <vt:variant>
        <vt:i4>6</vt:i4>
      </vt:variant>
      <vt:variant>
        <vt:i4>0</vt:i4>
      </vt:variant>
      <vt:variant>
        <vt:i4>5</vt:i4>
      </vt:variant>
      <vt:variant>
        <vt:lpwstr>https://twitter.com/SM_Energy</vt:lpwstr>
      </vt:variant>
      <vt:variant>
        <vt:lpwstr/>
      </vt:variant>
      <vt:variant>
        <vt:i4>6094925</vt:i4>
      </vt:variant>
      <vt:variant>
        <vt:i4>3</vt:i4>
      </vt:variant>
      <vt:variant>
        <vt:i4>0</vt:i4>
      </vt:variant>
      <vt:variant>
        <vt:i4>5</vt:i4>
      </vt:variant>
      <vt:variant>
        <vt:lpwstr>https://www.scottmadden.com/</vt:lpwstr>
      </vt:variant>
      <vt:variant>
        <vt:lpwstr/>
      </vt:variant>
      <vt:variant>
        <vt:i4>8060960</vt:i4>
      </vt:variant>
      <vt:variant>
        <vt:i4>0</vt:i4>
      </vt:variant>
      <vt:variant>
        <vt:i4>0</vt:i4>
      </vt:variant>
      <vt:variant>
        <vt:i4>5</vt:i4>
      </vt:variant>
      <vt:variant>
        <vt:lpwstr>https://www.scottmadden.com/contact-us/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Kerrigan</dc:creator>
  <cp:keywords/>
  <cp:lastModifiedBy>Olivia Shurbutt</cp:lastModifiedBy>
  <cp:revision>2</cp:revision>
  <cp:lastPrinted>2021-10-05T18:39:00Z</cp:lastPrinted>
  <dcterms:created xsi:type="dcterms:W3CDTF">2021-10-18T14:37:00Z</dcterms:created>
  <dcterms:modified xsi:type="dcterms:W3CDTF">2021-10-18T14:37:00Z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0x010100967BA61422B70F499F0C73166DE658E2</vt:lpwstr>
  </property>
</Properties>
</file>