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4305" w:rsidRPr="00CD212C" w:rsidRDefault="008B4305" w:rsidP="00CD212C">
      <w:pPr>
        <w:pStyle w:val="Heading1"/>
      </w:pPr>
      <w:r w:rsidRPr="00CD212C">
        <w:t>Summary</w:t>
      </w:r>
    </w:p>
    <w:p w:rsidR="004E0E0F" w:rsidRDefault="004E0E0F" w:rsidP="004E0E0F">
      <w:pPr>
        <w:rPr>
          <w:rFonts w:eastAsia="Times New Roman" w:cs="Times New Roman"/>
          <w:szCs w:val="20"/>
        </w:rPr>
      </w:pPr>
      <w:r>
        <w:rPr>
          <w:rFonts w:eastAsia="Times New Roman" w:cs="Times New Roman"/>
          <w:szCs w:val="20"/>
        </w:rPr>
        <w:t>Jim</w:t>
      </w:r>
      <w:r w:rsidRPr="00AD3323">
        <w:rPr>
          <w:rFonts w:eastAsia="Times New Roman" w:cs="Times New Roman"/>
          <w:szCs w:val="20"/>
        </w:rPr>
        <w:t xml:space="preserve"> Stephens</w:t>
      </w:r>
      <w:r>
        <w:rPr>
          <w:rFonts w:eastAsia="Times New Roman" w:cs="Times New Roman"/>
          <w:szCs w:val="20"/>
        </w:rPr>
        <w:t xml:space="preserve"> has </w:t>
      </w:r>
      <w:r>
        <w:rPr>
          <w:rFonts w:eastAsia="Times New Roman" w:cs="Times New Roman"/>
          <w:szCs w:val="20"/>
        </w:rPr>
        <w:t xml:space="preserve">nearly </w:t>
      </w:r>
      <w:r>
        <w:rPr>
          <w:rFonts w:eastAsia="Times New Roman" w:cs="Times New Roman"/>
          <w:szCs w:val="20"/>
        </w:rPr>
        <w:t xml:space="preserve">30 </w:t>
      </w:r>
      <w:r w:rsidRPr="00AD3323">
        <w:rPr>
          <w:rFonts w:eastAsia="Times New Roman" w:cs="Times New Roman"/>
          <w:szCs w:val="20"/>
        </w:rPr>
        <w:t>years of experienc</w:t>
      </w:r>
      <w:r>
        <w:rPr>
          <w:rFonts w:eastAsia="Times New Roman" w:cs="Times New Roman"/>
          <w:szCs w:val="20"/>
        </w:rPr>
        <w:t>e in the energy industry and has held senior management positions at economic consulting firms, energy marketers, and local distribution companies</w:t>
      </w:r>
      <w:r>
        <w:rPr>
          <w:rFonts w:eastAsia="Times New Roman" w:cs="Times New Roman"/>
          <w:szCs w:val="20"/>
        </w:rPr>
        <w:t xml:space="preserve"> prior to joining</w:t>
      </w:r>
      <w:r>
        <w:rPr>
          <w:rFonts w:eastAsia="Times New Roman" w:cs="Times New Roman"/>
          <w:szCs w:val="20"/>
        </w:rPr>
        <w:t xml:space="preserve"> ScottMadden. Jim has assisted numerous clients in the United States and Canada with natural gas supply analysis, portfolio assessment and optimization, demand forecasting and risk management, energy infrastructure evaluation, and regulatory strategy development and implementation. He has also provided expert testimony in numerous proceedings at various jurisdictions</w:t>
      </w:r>
      <w:r>
        <w:rPr>
          <w:rFonts w:eastAsia="Times New Roman" w:cs="Times New Roman"/>
          <w:szCs w:val="20"/>
        </w:rPr>
        <w:t>,</w:t>
      </w:r>
      <w:r>
        <w:rPr>
          <w:rFonts w:eastAsia="Times New Roman" w:cs="Times New Roman"/>
          <w:szCs w:val="20"/>
        </w:rPr>
        <w:t xml:space="preserve"> including </w:t>
      </w:r>
      <w:r>
        <w:rPr>
          <w:rFonts w:eastAsia="Times New Roman" w:cs="Times New Roman"/>
          <w:szCs w:val="20"/>
        </w:rPr>
        <w:t>federal, state, and provincial regulatory agencies.</w:t>
      </w:r>
    </w:p>
    <w:p w:rsidR="004E0E0F" w:rsidRDefault="004E0E0F" w:rsidP="004E0E0F">
      <w:pPr>
        <w:rPr>
          <w:rFonts w:eastAsia="Times New Roman" w:cs="Times New Roman"/>
          <w:szCs w:val="20"/>
        </w:rPr>
      </w:pPr>
    </w:p>
    <w:p w:rsidR="004E0E0F" w:rsidRDefault="004E0E0F" w:rsidP="004E0E0F">
      <w:pPr>
        <w:rPr>
          <w:rFonts w:eastAsia="Times New Roman" w:cs="Times New Roman"/>
          <w:szCs w:val="20"/>
        </w:rPr>
      </w:pPr>
      <w:r>
        <w:rPr>
          <w:rFonts w:eastAsia="Times New Roman" w:cs="Times New Roman"/>
          <w:szCs w:val="20"/>
        </w:rPr>
        <w:t xml:space="preserve">Prior to joining ScottMadden, Jim was a </w:t>
      </w:r>
      <w:r>
        <w:rPr>
          <w:rFonts w:eastAsia="Times New Roman" w:cs="Times New Roman"/>
          <w:szCs w:val="20"/>
        </w:rPr>
        <w:t>p</w:t>
      </w:r>
      <w:r>
        <w:rPr>
          <w:rFonts w:eastAsia="Times New Roman" w:cs="Times New Roman"/>
          <w:szCs w:val="20"/>
        </w:rPr>
        <w:t xml:space="preserve">artner with Sussex Economic Advisors. In addition, he has commercial experience through his leadership positions at a retail energy marketing company, </w:t>
      </w:r>
      <w:r w:rsidRPr="00AD3323">
        <w:rPr>
          <w:rFonts w:eastAsia="Times New Roman" w:cs="Times New Roman"/>
          <w:szCs w:val="20"/>
        </w:rPr>
        <w:t>where he was responsible for all aspects of business unit management</w:t>
      </w:r>
      <w:r>
        <w:rPr>
          <w:rFonts w:eastAsia="Times New Roman" w:cs="Times New Roman"/>
          <w:szCs w:val="20"/>
        </w:rPr>
        <w:t>,</w:t>
      </w:r>
      <w:r w:rsidRPr="00AD3323">
        <w:rPr>
          <w:rFonts w:eastAsia="Times New Roman" w:cs="Times New Roman"/>
          <w:szCs w:val="20"/>
        </w:rPr>
        <w:t xml:space="preserve"> including front, mid and back</w:t>
      </w:r>
      <w:r>
        <w:rPr>
          <w:rFonts w:eastAsia="Times New Roman" w:cs="Times New Roman"/>
          <w:szCs w:val="20"/>
        </w:rPr>
        <w:t>-</w:t>
      </w:r>
      <w:r w:rsidRPr="00AD3323">
        <w:rPr>
          <w:rFonts w:eastAsia="Times New Roman" w:cs="Times New Roman"/>
          <w:szCs w:val="20"/>
        </w:rPr>
        <w:t xml:space="preserve">office functions. </w:t>
      </w:r>
      <w:r>
        <w:rPr>
          <w:rFonts w:eastAsia="Times New Roman" w:cs="Times New Roman"/>
          <w:szCs w:val="20"/>
        </w:rPr>
        <w:t>He</w:t>
      </w:r>
      <w:r w:rsidRPr="00AD3323">
        <w:rPr>
          <w:rFonts w:eastAsia="Times New Roman" w:cs="Times New Roman"/>
          <w:szCs w:val="20"/>
        </w:rPr>
        <w:t xml:space="preserve"> was also responsible for </w:t>
      </w:r>
      <w:r w:rsidRPr="00AD3323">
        <w:rPr>
          <w:rFonts w:eastAsia="Times New Roman" w:cs="Times New Roman"/>
          <w:szCs w:val="20"/>
        </w:rPr>
        <w:t xml:space="preserve">gas supply procurement and portfolio optimization </w:t>
      </w:r>
      <w:r>
        <w:rPr>
          <w:rFonts w:eastAsia="Times New Roman" w:cs="Times New Roman"/>
          <w:szCs w:val="20"/>
        </w:rPr>
        <w:t xml:space="preserve">for a local distribution company. Jim </w:t>
      </w:r>
      <w:r w:rsidRPr="00AD3323">
        <w:rPr>
          <w:rFonts w:eastAsia="Times New Roman" w:cs="Times New Roman"/>
          <w:szCs w:val="20"/>
        </w:rPr>
        <w:t xml:space="preserve">holds a B.S. in </w:t>
      </w:r>
      <w:r>
        <w:rPr>
          <w:rFonts w:eastAsia="Times New Roman" w:cs="Times New Roman"/>
          <w:szCs w:val="20"/>
        </w:rPr>
        <w:t>m</w:t>
      </w:r>
      <w:r w:rsidRPr="00AD3323">
        <w:rPr>
          <w:rFonts w:eastAsia="Times New Roman" w:cs="Times New Roman"/>
          <w:szCs w:val="20"/>
        </w:rPr>
        <w:t xml:space="preserve">anagement and an M.B.A. with a concentration in </w:t>
      </w:r>
      <w:r w:rsidRPr="00AD3323">
        <w:rPr>
          <w:rFonts w:eastAsia="Times New Roman" w:cs="Times New Roman"/>
          <w:szCs w:val="20"/>
        </w:rPr>
        <w:t xml:space="preserve">operations management </w:t>
      </w:r>
      <w:r w:rsidRPr="00AD3323">
        <w:rPr>
          <w:rFonts w:eastAsia="Times New Roman" w:cs="Times New Roman"/>
          <w:szCs w:val="20"/>
        </w:rPr>
        <w:t>from Bentley College</w:t>
      </w:r>
      <w:r>
        <w:rPr>
          <w:rFonts w:eastAsia="Times New Roman" w:cs="Times New Roman"/>
          <w:szCs w:val="20"/>
        </w:rPr>
        <w:t>.</w:t>
      </w:r>
    </w:p>
    <w:p w:rsidR="00CD212C" w:rsidRPr="00CD212C" w:rsidRDefault="00CD212C" w:rsidP="00CD212C">
      <w:pPr>
        <w:pStyle w:val="Heading1"/>
      </w:pPr>
      <w:r w:rsidRPr="00CD212C">
        <w:t>Areas of Specialization</w:t>
      </w:r>
    </w:p>
    <w:p w:rsidR="00C53F62" w:rsidRDefault="004E0E0F" w:rsidP="00CD212C">
      <w:pPr>
        <w:pStyle w:val="NoSpacing"/>
      </w:pPr>
      <w:r>
        <w:t>Gas supply planning</w:t>
      </w:r>
    </w:p>
    <w:p w:rsidR="004E0E0F" w:rsidRDefault="004E0E0F" w:rsidP="00CD212C">
      <w:pPr>
        <w:pStyle w:val="NoSpacing"/>
      </w:pPr>
      <w:r>
        <w:t>Portfolio optimization</w:t>
      </w:r>
    </w:p>
    <w:p w:rsidR="004E0E0F" w:rsidRDefault="004E0E0F" w:rsidP="00CD212C">
      <w:pPr>
        <w:pStyle w:val="NoSpacing"/>
      </w:pPr>
      <w:r>
        <w:t>Risk management</w:t>
      </w:r>
    </w:p>
    <w:p w:rsidR="004E0E0F" w:rsidRDefault="004E0E0F" w:rsidP="00CD212C">
      <w:pPr>
        <w:pStyle w:val="NoSpacing"/>
      </w:pPr>
      <w:r>
        <w:t>Energy market assessments</w:t>
      </w:r>
    </w:p>
    <w:p w:rsidR="004E0E0F" w:rsidRDefault="004E0E0F" w:rsidP="00CD212C">
      <w:pPr>
        <w:pStyle w:val="NoSpacing"/>
      </w:pPr>
      <w:r>
        <w:t>Pipeline and storage infrastructure</w:t>
      </w:r>
    </w:p>
    <w:p w:rsidR="004E0E0F" w:rsidRDefault="004E0E0F" w:rsidP="00CD212C">
      <w:pPr>
        <w:pStyle w:val="NoSpacing"/>
      </w:pPr>
      <w:r>
        <w:t>LNG and CNG</w:t>
      </w:r>
    </w:p>
    <w:p w:rsidR="004E0E0F" w:rsidRDefault="004E0E0F" w:rsidP="00CD212C">
      <w:pPr>
        <w:pStyle w:val="NoSpacing"/>
      </w:pPr>
      <w:r>
        <w:t>Regulatory policy</w:t>
      </w:r>
    </w:p>
    <w:p w:rsidR="004E0E0F" w:rsidRDefault="004E0E0F" w:rsidP="00CD212C">
      <w:pPr>
        <w:pStyle w:val="NoSpacing"/>
      </w:pPr>
      <w:r>
        <w:t>Integrated resource planning</w:t>
      </w:r>
    </w:p>
    <w:p w:rsidR="004E0E0F" w:rsidRPr="00CD212C" w:rsidRDefault="004E0E0F" w:rsidP="00CD212C">
      <w:pPr>
        <w:pStyle w:val="NoSpacing"/>
      </w:pPr>
      <w:r>
        <w:t>Energy marketing</w:t>
      </w:r>
    </w:p>
    <w:p w:rsidR="00CD212C" w:rsidRPr="00CD212C" w:rsidRDefault="00CD212C" w:rsidP="00CD212C">
      <w:pPr>
        <w:pStyle w:val="Heading1"/>
      </w:pPr>
      <w:r w:rsidRPr="00CD212C">
        <w:t>Recent Assignments</w:t>
      </w:r>
    </w:p>
    <w:p w:rsidR="00EC08CD" w:rsidRPr="00EC08CD" w:rsidRDefault="00EC08CD" w:rsidP="00EC08CD">
      <w:pPr>
        <w:pStyle w:val="NoSpacing"/>
      </w:pPr>
      <w:r w:rsidRPr="00EC08CD">
        <w:t>Supported the Alaska Gasline Development Corporation with a review and potential development of a natural gas pipeline to transport supply from the Prudhoe Bay area to Anchorage; assisted with the development of services, rate structures, and tariffs; evaluated potential in-state demand; reviewed LNG market options; and supported feder</w:t>
      </w:r>
      <w:r>
        <w:t>al and state regulatory filings</w:t>
      </w:r>
    </w:p>
    <w:p w:rsidR="00EC08CD" w:rsidRPr="00EC08CD" w:rsidRDefault="00EC08CD" w:rsidP="00EC08CD">
      <w:pPr>
        <w:pStyle w:val="NoSpacing"/>
      </w:pPr>
      <w:r w:rsidRPr="00EC08CD">
        <w:t>Assisted Union Gas and Enbridge Gas Distribution with an evaluation of the NEXUS Gas Transmission project, which included the submission of expert testimony to the Ontario Energy Board. Specifically, the testimony included an overview of the existing market conditions and a quantitative and qualitative assessment of the NEXUS</w:t>
      </w:r>
      <w:r>
        <w:t xml:space="preserve"> project</w:t>
      </w:r>
    </w:p>
    <w:p w:rsidR="00EC08CD" w:rsidRPr="00EC08CD" w:rsidRDefault="00EC08CD" w:rsidP="00EC08CD">
      <w:pPr>
        <w:pStyle w:val="NoSpacing"/>
      </w:pPr>
      <w:r w:rsidRPr="00EC08CD">
        <w:t>Conducted an assessment of the responses to a request for proposal distributed by Eversource. Specifically, expert testimony was submitted to the Massachusetts Department of Public Utilities</w:t>
      </w:r>
      <w:r>
        <w:t>,</w:t>
      </w:r>
      <w:r w:rsidRPr="00EC08CD">
        <w:t xml:space="preserve"> providing an overview of current energy conditions, a summary of natural gas supply options submitted in response to the RFP, and a quantitative and qualitativ</w:t>
      </w:r>
      <w:r>
        <w:t>e evaluation of the submissions</w:t>
      </w:r>
    </w:p>
    <w:p w:rsidR="00EC08CD" w:rsidRPr="00EC08CD" w:rsidRDefault="00EC08CD" w:rsidP="00EC08CD">
      <w:pPr>
        <w:pStyle w:val="NoSpacing"/>
      </w:pPr>
      <w:r w:rsidRPr="00EC08CD">
        <w:t>On behalf of an electric utility, reviewed the current processes and programs used to manage fuel commodity risk and the process to doc</w:t>
      </w:r>
      <w:r>
        <w:t>ument and communicate decisions</w:t>
      </w:r>
    </w:p>
    <w:p w:rsidR="00EC08CD" w:rsidRPr="00EC08CD" w:rsidRDefault="00EC08CD" w:rsidP="00EC08CD">
      <w:pPr>
        <w:pStyle w:val="NoSpacing"/>
      </w:pPr>
      <w:r w:rsidRPr="00EC08CD">
        <w:t>For an integrated utility, managed the due diligence process in a potential acquisiti</w:t>
      </w:r>
      <w:r>
        <w:t>on of a natural gas utility which</w:t>
      </w:r>
      <w:r w:rsidRPr="00EC08CD">
        <w:t xml:space="preserve"> had operations in several jurisdictions and significant non-regulated a</w:t>
      </w:r>
      <w:r>
        <w:t>ctivities</w:t>
      </w:r>
    </w:p>
    <w:p w:rsidR="00CD212C" w:rsidRPr="008B4305" w:rsidRDefault="00EC08CD" w:rsidP="00EC08CD">
      <w:pPr>
        <w:pStyle w:val="NoSpacing"/>
      </w:pPr>
      <w:r w:rsidRPr="00EC08CD">
        <w:t>On behalf of Northern Utilities, assisted with the benchmarking of the existing retail choice program to adjacent LDC transportation programs. Supported the regulatory filing submitted by Northern Utilities by providing market context, implications from changing demand and supply dynamics, and the benefits of program chang</w:t>
      </w:r>
      <w:r>
        <w:t>es to the LDC planning function</w:t>
      </w:r>
      <w:bookmarkStart w:id="0" w:name="_GoBack"/>
      <w:bookmarkEnd w:id="0"/>
    </w:p>
    <w:sectPr w:rsidR="00CD212C" w:rsidRPr="008B4305" w:rsidSect="00883918">
      <w:headerReference w:type="default" r:id="rId7"/>
      <w:pgSz w:w="12240" w:h="15840"/>
      <w:pgMar w:top="1626" w:right="1080" w:bottom="810" w:left="1080" w:header="54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6B6C" w:rsidRDefault="00996B6C" w:rsidP="00CD212C">
      <w:r>
        <w:separator/>
      </w:r>
    </w:p>
  </w:endnote>
  <w:endnote w:type="continuationSeparator" w:id="0">
    <w:p w:rsidR="00996B6C" w:rsidRDefault="00996B6C" w:rsidP="00CD2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6B6C" w:rsidRDefault="00996B6C" w:rsidP="00CD212C">
      <w:r>
        <w:separator/>
      </w:r>
    </w:p>
  </w:footnote>
  <w:footnote w:type="continuationSeparator" w:id="0">
    <w:p w:rsidR="00996B6C" w:rsidRDefault="00996B6C" w:rsidP="00CD21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4305" w:rsidRPr="00CD212C" w:rsidRDefault="008B4305" w:rsidP="00CD212C">
    <w:pPr>
      <w:pStyle w:val="Subtitle"/>
    </w:pPr>
    <w:r>
      <w:rPr>
        <w:noProof/>
      </w:rPr>
      <w:drawing>
        <wp:anchor distT="0" distB="0" distL="114300" distR="114300" simplePos="0" relativeHeight="251658240" behindDoc="1" locked="0" layoutInCell="1" allowOverlap="1">
          <wp:simplePos x="0" y="0"/>
          <wp:positionH relativeFrom="column">
            <wp:posOffset>17062</wp:posOffset>
          </wp:positionH>
          <wp:positionV relativeFrom="paragraph">
            <wp:posOffset>-993</wp:posOffset>
          </wp:positionV>
          <wp:extent cx="1391479" cy="596348"/>
          <wp:effectExtent l="19050" t="0" r="0" b="0"/>
          <wp:wrapNone/>
          <wp:docPr id="1" name="Picture 0" descr="S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Logo.jpg"/>
                  <pic:cNvPicPr/>
                </pic:nvPicPr>
                <pic:blipFill>
                  <a:blip r:embed="rId1"/>
                  <a:stretch>
                    <a:fillRect/>
                  </a:stretch>
                </pic:blipFill>
                <pic:spPr>
                  <a:xfrm>
                    <a:off x="0" y="0"/>
                    <a:ext cx="1394793" cy="597768"/>
                  </a:xfrm>
                  <a:prstGeom prst="rect">
                    <a:avLst/>
                  </a:prstGeom>
                </pic:spPr>
              </pic:pic>
            </a:graphicData>
          </a:graphic>
        </wp:anchor>
      </w:drawing>
    </w:r>
    <w:r w:rsidRPr="00CD212C">
      <w:t>Resume of:</w:t>
    </w:r>
  </w:p>
  <w:p w:rsidR="008B4305" w:rsidRPr="00CD212C" w:rsidRDefault="005A6F87" w:rsidP="00CD212C">
    <w:pPr>
      <w:jc w:val="right"/>
      <w:rPr>
        <w:rStyle w:val="SubtleEmphasis"/>
      </w:rPr>
    </w:pPr>
    <w:r>
      <w:rPr>
        <w:rStyle w:val="SubtleEmphasis"/>
      </w:rPr>
      <w:t>James M. Stephens</w:t>
    </w:r>
  </w:p>
  <w:p w:rsidR="008B4305" w:rsidRPr="00CD212C" w:rsidRDefault="00C53F62" w:rsidP="00CD212C">
    <w:pPr>
      <w:jc w:val="right"/>
      <w:rPr>
        <w:rStyle w:val="SubtleEmphasis"/>
      </w:rPr>
    </w:pPr>
    <w:r>
      <w:rPr>
        <w:rStyle w:val="SubtleEmphasis"/>
      </w:rPr>
      <w:t>Partner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1E3E3B"/>
    <w:multiLevelType w:val="hybridMultilevel"/>
    <w:tmpl w:val="407661B0"/>
    <w:lvl w:ilvl="0" w:tplc="895629F6">
      <w:start w:val="1"/>
      <w:numFmt w:val="bullet"/>
      <w:lvlText w:val=""/>
      <w:lvlJc w:val="left"/>
      <w:pPr>
        <w:ind w:left="720" w:hanging="360"/>
      </w:pPr>
      <w:rPr>
        <w:rFonts w:ascii="Wingdings" w:hAnsi="Wingdings" w:hint="default"/>
        <w:color w:val="4BACC6" w:themeColor="accent5"/>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C462BBD"/>
    <w:multiLevelType w:val="hybridMultilevel"/>
    <w:tmpl w:val="02049326"/>
    <w:lvl w:ilvl="0" w:tplc="19506D7A">
      <w:start w:val="1"/>
      <w:numFmt w:val="bullet"/>
      <w:lvlText w:val=""/>
      <w:lvlJc w:val="left"/>
      <w:pPr>
        <w:ind w:left="720" w:hanging="360"/>
      </w:pPr>
      <w:rPr>
        <w:rFonts w:ascii="Wingdings" w:hAnsi="Wingdings" w:hint="default"/>
        <w:color w:val="4BACC6" w:themeColor="accent5"/>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6A25D3"/>
    <w:multiLevelType w:val="hybridMultilevel"/>
    <w:tmpl w:val="0B14507A"/>
    <w:lvl w:ilvl="0" w:tplc="AB38F968">
      <w:start w:val="1"/>
      <w:numFmt w:val="bullet"/>
      <w:pStyle w:val="NoSpacing"/>
      <w:lvlText w:val="n"/>
      <w:lvlJc w:val="left"/>
      <w:pPr>
        <w:ind w:left="360" w:hanging="360"/>
      </w:pPr>
      <w:rPr>
        <w:rFonts w:ascii="Wingdings" w:hAnsi="Wingdings" w:hint="default"/>
        <w:color w:val="26BCD7"/>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650074C3"/>
    <w:multiLevelType w:val="hybridMultilevel"/>
    <w:tmpl w:val="5B0681C0"/>
    <w:lvl w:ilvl="0" w:tplc="895629F6">
      <w:start w:val="1"/>
      <w:numFmt w:val="bullet"/>
      <w:lvlText w:val=""/>
      <w:lvlJc w:val="left"/>
      <w:pPr>
        <w:ind w:left="720" w:hanging="360"/>
      </w:pPr>
      <w:rPr>
        <w:rFonts w:ascii="Wingdings" w:hAnsi="Wingdings" w:hint="default"/>
        <w:color w:val="4BACC6" w:themeColor="accent5"/>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2"/>
  </w:num>
  <w:num w:numId="4">
    <w:abstractNumId w:val="3"/>
  </w:num>
  <w:num w:numId="5">
    <w:abstractNumId w:val="2"/>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150"/>
    <w:rsid w:val="00040B50"/>
    <w:rsid w:val="00104AE6"/>
    <w:rsid w:val="002C5930"/>
    <w:rsid w:val="003A432A"/>
    <w:rsid w:val="0041311E"/>
    <w:rsid w:val="004E0E0F"/>
    <w:rsid w:val="005A6F87"/>
    <w:rsid w:val="006621C6"/>
    <w:rsid w:val="00863668"/>
    <w:rsid w:val="00883918"/>
    <w:rsid w:val="008B4305"/>
    <w:rsid w:val="00996B6C"/>
    <w:rsid w:val="009F4A4A"/>
    <w:rsid w:val="00A36D38"/>
    <w:rsid w:val="00AE3B76"/>
    <w:rsid w:val="00B45D6B"/>
    <w:rsid w:val="00B9645E"/>
    <w:rsid w:val="00C53F62"/>
    <w:rsid w:val="00C54150"/>
    <w:rsid w:val="00CD212C"/>
    <w:rsid w:val="00E846B6"/>
    <w:rsid w:val="00EA3A60"/>
    <w:rsid w:val="00EC08CD"/>
    <w:rsid w:val="00F761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34632CC7-E481-4FF1-B8BA-27C673A3C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212C"/>
    <w:pPr>
      <w:spacing w:after="0" w:line="240" w:lineRule="auto"/>
    </w:pPr>
    <w:rPr>
      <w:rFonts w:ascii="Arial" w:hAnsi="Arial"/>
      <w:sz w:val="20"/>
    </w:rPr>
  </w:style>
  <w:style w:type="paragraph" w:styleId="Heading1">
    <w:name w:val="heading 1"/>
    <w:aliases w:val="Resume Major Side"/>
    <w:basedOn w:val="Normal"/>
    <w:next w:val="Normal"/>
    <w:link w:val="Heading1Char"/>
    <w:uiPriority w:val="9"/>
    <w:qFormat/>
    <w:rsid w:val="00CD212C"/>
    <w:pPr>
      <w:spacing w:before="120" w:after="120"/>
      <w:outlineLvl w:val="0"/>
    </w:pPr>
    <w:rPr>
      <w:rFonts w:ascii="Arial Narrow" w:hAnsi="Arial Narrow" w:cs="Arial"/>
      <w:b/>
      <w:i/>
      <w:color w:val="5F6062"/>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4305"/>
    <w:pPr>
      <w:tabs>
        <w:tab w:val="center" w:pos="4680"/>
        <w:tab w:val="right" w:pos="9360"/>
      </w:tabs>
    </w:pPr>
  </w:style>
  <w:style w:type="character" w:customStyle="1" w:styleId="HeaderChar">
    <w:name w:val="Header Char"/>
    <w:basedOn w:val="DefaultParagraphFont"/>
    <w:link w:val="Header"/>
    <w:uiPriority w:val="99"/>
    <w:rsid w:val="008B4305"/>
  </w:style>
  <w:style w:type="paragraph" w:styleId="Footer">
    <w:name w:val="footer"/>
    <w:basedOn w:val="Normal"/>
    <w:link w:val="FooterChar"/>
    <w:uiPriority w:val="99"/>
    <w:unhideWhenUsed/>
    <w:rsid w:val="008B4305"/>
    <w:pPr>
      <w:tabs>
        <w:tab w:val="center" w:pos="4680"/>
        <w:tab w:val="right" w:pos="9360"/>
      </w:tabs>
    </w:pPr>
  </w:style>
  <w:style w:type="character" w:customStyle="1" w:styleId="FooterChar">
    <w:name w:val="Footer Char"/>
    <w:basedOn w:val="DefaultParagraphFont"/>
    <w:link w:val="Footer"/>
    <w:uiPriority w:val="99"/>
    <w:rsid w:val="008B4305"/>
  </w:style>
  <w:style w:type="paragraph" w:styleId="BalloonText">
    <w:name w:val="Balloon Text"/>
    <w:basedOn w:val="Normal"/>
    <w:link w:val="BalloonTextChar"/>
    <w:uiPriority w:val="99"/>
    <w:semiHidden/>
    <w:unhideWhenUsed/>
    <w:rsid w:val="008B4305"/>
    <w:rPr>
      <w:rFonts w:ascii="Tahoma" w:hAnsi="Tahoma" w:cs="Tahoma"/>
      <w:sz w:val="16"/>
      <w:szCs w:val="16"/>
    </w:rPr>
  </w:style>
  <w:style w:type="character" w:customStyle="1" w:styleId="BalloonTextChar">
    <w:name w:val="Balloon Text Char"/>
    <w:basedOn w:val="DefaultParagraphFont"/>
    <w:link w:val="BalloonText"/>
    <w:uiPriority w:val="99"/>
    <w:semiHidden/>
    <w:rsid w:val="008B4305"/>
    <w:rPr>
      <w:rFonts w:ascii="Tahoma" w:hAnsi="Tahoma" w:cs="Tahoma"/>
      <w:sz w:val="16"/>
      <w:szCs w:val="16"/>
    </w:rPr>
  </w:style>
  <w:style w:type="character" w:customStyle="1" w:styleId="Heading1Char">
    <w:name w:val="Heading 1 Char"/>
    <w:aliases w:val="Resume Major Side Char"/>
    <w:basedOn w:val="DefaultParagraphFont"/>
    <w:link w:val="Heading1"/>
    <w:uiPriority w:val="9"/>
    <w:rsid w:val="00CD212C"/>
    <w:rPr>
      <w:rFonts w:ascii="Arial Narrow" w:hAnsi="Arial Narrow" w:cs="Arial"/>
      <w:b/>
      <w:i/>
      <w:color w:val="5F6062"/>
    </w:rPr>
  </w:style>
  <w:style w:type="paragraph" w:styleId="Subtitle">
    <w:name w:val="Subtitle"/>
    <w:aliases w:val="Resume Header: Resume of"/>
    <w:basedOn w:val="Normal"/>
    <w:next w:val="Normal"/>
    <w:link w:val="SubtitleChar"/>
    <w:uiPriority w:val="11"/>
    <w:qFormat/>
    <w:rsid w:val="00CD212C"/>
    <w:pPr>
      <w:tabs>
        <w:tab w:val="right" w:pos="10080"/>
      </w:tabs>
      <w:jc w:val="right"/>
    </w:pPr>
    <w:rPr>
      <w:rFonts w:cs="Arial"/>
      <w:i/>
      <w:szCs w:val="20"/>
    </w:rPr>
  </w:style>
  <w:style w:type="character" w:customStyle="1" w:styleId="SubtitleChar">
    <w:name w:val="Subtitle Char"/>
    <w:aliases w:val="Resume Header: Resume of Char"/>
    <w:basedOn w:val="DefaultParagraphFont"/>
    <w:link w:val="Subtitle"/>
    <w:uiPriority w:val="11"/>
    <w:rsid w:val="00CD212C"/>
    <w:rPr>
      <w:rFonts w:ascii="Arial" w:hAnsi="Arial" w:cs="Arial"/>
      <w:i/>
      <w:sz w:val="20"/>
      <w:szCs w:val="20"/>
    </w:rPr>
  </w:style>
  <w:style w:type="character" w:styleId="SubtleEmphasis">
    <w:name w:val="Subtle Emphasis"/>
    <w:aliases w:val="Resume Header: Name and Title"/>
    <w:uiPriority w:val="19"/>
    <w:qFormat/>
    <w:rsid w:val="00CD212C"/>
    <w:rPr>
      <w:rFonts w:cs="Arial"/>
      <w:b/>
      <w:sz w:val="24"/>
      <w:szCs w:val="24"/>
    </w:rPr>
  </w:style>
  <w:style w:type="paragraph" w:styleId="ListParagraph">
    <w:name w:val="List Paragraph"/>
    <w:basedOn w:val="Normal"/>
    <w:uiPriority w:val="34"/>
    <w:qFormat/>
    <w:rsid w:val="008B4305"/>
    <w:pPr>
      <w:ind w:left="720"/>
      <w:contextualSpacing/>
    </w:pPr>
  </w:style>
  <w:style w:type="paragraph" w:styleId="NoSpacing">
    <w:name w:val="No Spacing"/>
    <w:aliases w:val="Resume Bullet"/>
    <w:basedOn w:val="ListParagraph"/>
    <w:uiPriority w:val="1"/>
    <w:qFormat/>
    <w:rsid w:val="00CD212C"/>
    <w:pPr>
      <w:numPr>
        <w:numId w:val="1"/>
      </w:numPr>
      <w:spacing w:before="60" w:after="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martinez\AppData\Local\Microsoft\Windows\Temporary%20Internet%20Files\Content.Outlook\3I4WFJZN\Resume%20Template_2013_DRAFT%20(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Resume Template_2013_DRAFT (5)</Template>
  <TotalTime>8</TotalTime>
  <Pages>1</Pages>
  <Words>482</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Scott Madden</Company>
  <LinksUpToDate>false</LinksUpToDate>
  <CharactersWithSpaces>3230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 Powell</dc:creator>
  <cp:lastModifiedBy>Kim Powell</cp:lastModifiedBy>
  <cp:revision>3</cp:revision>
  <dcterms:created xsi:type="dcterms:W3CDTF">2016-05-31T20:18:00Z</dcterms:created>
  <dcterms:modified xsi:type="dcterms:W3CDTF">2016-05-31T20:26:00Z</dcterms:modified>
</cp:coreProperties>
</file>